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Mağdura Vekil Görevlendirilmesi Talep Dilekçesi</w:t>
      </w:r>
    </w:p>
    <w:p>
      <w:pPr>
        <w:jc w:val="center"/>
      </w:pPr>
      <w:r>
        <w:rPr>
          <w:i/>
        </w:rPr>
        <w:t>CMK m.234 ve m.239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Soruşturma aşamasında dosyayı yürüten Cumhuriyet başsavcılığı; kovuşturma aşamasında ceza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İstem, soruşturma veya kovuşturma sürerken derhâl yapılabilir. Kanun bu istem için ayrıca günle belirlenmiş bir hak düşürücü süre koymaz; ifade veya duruşma öncesinde sunulması etkin yardım sağlar.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CMK m.234 ve m.239</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CMK 234 ve 239 kapsamında barodan vekil görevlendirilmesi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SORUŞTURMA AŞAMASINDA DOSYAYI YÜRÜTEN CUMHURİYET BAŞSAVCILIĞI; KOVUŞTURMA AŞAMASINDA CEZA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mağdura vekil görevlendirilmesi talep dilekçesi kapsamında, aşağıda açıklanan somut olay ve ekli belgelere dayanılarak CMK 234 ve 239 kapsamında barodan vekil görevlendirilmesi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Başvurucu suçtan doğrudan zarar görmüştür; dosyada vekâletnameli bir avukatı yoktur ve kanundaki görevlendirme koşullarından biri somut olayda gerçekleşmiştir. Bu sonuç Ek-[numara] belgesi ile doğrulanmaktadır. Belgenin tarihi, düzenleyeni ve olaya bağlantısı aşağıdaki delil listesinde ayrıca gösterilmiştir.</w:t>
      </w:r>
    </w:p>
    <w:p>
      <w:r/>
    </w:p>
    <w:p>
      <w:r>
        <w:t>4. Hukuki değerlendirme</w:t>
      </w:r>
    </w:p>
    <w:p>
      <w:r>
        <w:t>CMK 234 uyarınca vekili bulunmayan mağdur veya şikâyetçi; cinsel saldırı, çocukların cinsel istismarı ve ısrarlı takip suçlarında, kadına karşı işlenen kasten yaralama, işkence ve eziyet suçlarında ve alt sınırı beş yıldan fazla hapis cezasını gerektiren suçlarda barodan avukat görevlendirilmesini isteyebilir. CMK 234/2 ve 239/2 uyarınca mağdur çocuk, sağır veya dilsiz ya da meramını ifade edemeyecek derecede malul ise ve vekili yoksa istem aranmadan vekil görevlendirilir. Somut olayda [belge ve olgu] bu hükmün aradığı koşulu karşılamaktadır. Karşılaştırma, varsayıma değil dilekçe ekindeki tarihli kayıtlara dayanmaktadır.</w:t>
      </w:r>
    </w:p>
    <w:p>
      <w:r/>
    </w:p>
    <w:p>
      <w:r>
        <w:t>5. Süre ve yetki</w:t>
      </w:r>
    </w:p>
    <w:p>
      <w:r>
        <w:t>İstem, soruşturma veya kovuşturma sürerken derhâl yapılabilir. Kanun bu istem için ayrıca günle belirlenmiş bir hak düşürücü süre koymaz; ifade veya duruşma öncesinde sunulması etkin yardım sağlar. Başvuru Soruşturma aşamasında dosyayı yürüten Cumhuriyet başsavcılığı; kovuşturma aşamasında ceza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CMK 234 uyarınca vekili bulunmayan mağdur veya şikâyetçi; cinsel saldırı, çocukların cinsel istismarı ve ısrarlı takip suçlarında, kadına karşı işlenen kasten yaralama, işkence ve eziyet suçlarında ve alt sınırı beş yıldan fazla hapis cezasını gerektiren suçlarda barodan avukat görevlendirilmesini isteyebilir ve ilgili ikincil mevzuat.</w:t>
      </w:r>
    </w:p>
    <w:p>
      <w:r/>
    </w:p>
    <w:p>
      <w:pPr>
        <w:jc w:val="center"/>
      </w:pPr>
      <w:r>
        <w:rPr>
          <w:b/>
        </w:rPr>
        <w:t>DELİLLER</w:t>
      </w:r>
    </w:p>
    <w:p>
      <w:r>
        <w:t>1. Kimlik fotokopisi</w:t>
      </w:r>
    </w:p>
    <w:p>
      <w:r>
        <w:t>2. Soruşturma veya esas numarasını gösteren belge</w:t>
      </w:r>
    </w:p>
    <w:p>
      <w:r>
        <w:t>3. Mağduriyet ve özel durumu gösteren rapor veya kayıt</w:t>
      </w:r>
    </w:p>
    <w:p>
      <w:r>
        <w:t>4. Varsa çağrı kâğıdı ya da ifade daveti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CMK 234 ve 239 kapsamında barodan vekil görevlendirilmesi,</w:t>
      </w:r>
    </w:p>
    <w:p>
      <w:r>
        <w:t>2. Görevlendirme sonucunun başvurucuya bildirilmesi,</w:t>
      </w:r>
    </w:p>
    <w:p>
      <w:r>
        <w:t>3. Vekilin dosyayı inceleyebilmesi için gerekli işlemlerin yapılması,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https://www.mevzuat.gov.tr/mevzuatmetin/1.5.5271.pdf</w:t>
      </w:r>
    </w:p>
    <w:p>
      <w:r>
        <w:t>https://magdurbilgi.adalet.gov.tr/235/Haklarim-Neler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Mağdura Vekil Görevlendirilmesi Talep Dilekçesi</dc:title>
  <dc:subject>CMK m.234 ve m.239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