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Temsil Kayyımı Atanması Talep Dilekçesi</w:t>
      </w:r>
    </w:p>
    <w:p>
      <w:pPr>
        <w:jc w:val="center"/>
      </w:pPr>
      <w:r>
        <w:rPr>
          <w:i/>
        </w:rPr>
        <w:t>TMK m.426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Vesayet makamı sıfatıyla görevli sulh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Temsil engeli veya menfaat çatışması ortaya çıkar çıkmaz başvurulmalıdır; TMK 426 için ayrı bir gün esaslı hak düşürücü süre yoktur.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m.426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somut işlemle sınırlı temsil kayyımı atanması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VESAYET MAKAMI SIFATIYLA GÖREVLİ SULH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temsil kayyımı atanması talep dilekçesi kapsamında, aşağıda açıklanan somut olay ve ekli belgelere dayanılarak somut işlemle sınırlı temsil kayyımı atanması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Kayyım yalnızca belirtilen iş veya uyuşmazlık için temsil sağlayacaktır; genel malvarlığı yönetimi talep edilmemektedir. Bu sonuç Ek-[numara] belgesi ile doğrulanmaktadır. Belgenin tarihi, düzenleyeni ve olaya bağlantısı aşağıdaki delil listesinde ayrıca gösterilmiştir.</w:t>
      </w:r>
    </w:p>
    <w:p>
      <w:r/>
    </w:p>
    <w:p>
      <w:r>
        <w:t>4. Hukuki değerlendirme</w:t>
      </w:r>
    </w:p>
    <w:p>
      <w:r>
        <w:t>TMK 426; ergin kişinin ivedi işinde hastalık, başka yerde bulunma veya benzeri sebeple işi görememesi, yasal temsilci ile küçüğün ya da kısıtlının menfaatlerinin çatışması veya yasal temsilcinin görevini yapmasına engel bulunması hâllerinde temsil kayyımı atanmasını düzenler. Somut olayda [belge ve olgu] bu hükmün aradığı koşulu karşılamaktadır. Karşılaştırma, varsayıma değil dilekçe ekindeki tarihli kayıtlara dayanmaktadır.</w:t>
      </w:r>
    </w:p>
    <w:p>
      <w:r/>
    </w:p>
    <w:p>
      <w:r>
        <w:t>5. Süre ve yetki</w:t>
      </w:r>
    </w:p>
    <w:p>
      <w:r>
        <w:t>Temsil engeli veya menfaat çatışması ortaya çıkar çıkmaz başvurulmalıdır; TMK 426 için ayrı bir gün esaslı hak düşürücü süre yoktur. Başvuru Vesayet makamı sıfatıyla görevli sulh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426; ergin kişinin ivedi işinde hastalık, başka yerde bulunma veya benzeri sebeple işi görememesi, yasal temsilci ile küçüğün ya da kısıtlının menfaatlerinin çatışması veya yasal temsilcinin görevini yapmasına engel bulunması hâllerinde temsil kayyımı atanmasını düzenler ve ilgili ikincil mevzuat.</w:t>
      </w:r>
    </w:p>
    <w:p>
      <w:r/>
    </w:p>
    <w:p>
      <w:pPr>
        <w:jc w:val="center"/>
      </w:pPr>
      <w:r>
        <w:rPr>
          <w:b/>
        </w:rPr>
        <w:t>DELİLLER</w:t>
      </w:r>
    </w:p>
    <w:p>
      <w:r>
        <w:t>1. Nüfus kayıt örneği</w:t>
      </w:r>
    </w:p>
    <w:p>
      <w:r>
        <w:t>2. Menfaat çatışmasını veya temsil engelini gösteren sözleşme ve dosya belgeleri</w:t>
      </w:r>
    </w:p>
    <w:p>
      <w:r>
        <w:t>3. Temsil edilecek işin aciliyetini gösteren kayıtlar</w:t>
      </w:r>
    </w:p>
    <w:p>
      <w:r>
        <w:t>4. Önerilen kayyımın kimlik ve iletişim bilgileri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Somut işlemle sınırlı temsil kayyımı atanması,</w:t>
      </w:r>
    </w:p>
    <w:p>
      <w:r>
        <w:t>2. Kayyımın yetki sınırlarının kararda açıkça gösterilmesi,</w:t>
      </w:r>
    </w:p>
    <w:p>
      <w:r>
        <w:t>3. Gerekli kurumlara müzekkere yazılması,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Temsil Kayyımı Atanması Talep Dilekçesi</dc:title>
  <dc:subject>TMK m.426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