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Yönetim Kayyımı Atanması Talep Dilekçesi</w:t>
      </w:r>
    </w:p>
    <w:p>
      <w:pPr>
        <w:jc w:val="center"/>
      </w:pPr>
      <w:r>
        <w:rPr>
          <w:i/>
        </w:rPr>
        <w:t>TMK m.427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Vesayet makamı sıfatıyla görevli sulh hukuk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Korunması gereken malvarlığı sahipsiz veya yönetimsiz kaldığında gecikmeden başvurulur; TMK 427 özel bir gün süresi belirlemez.</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m.427</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malvarlığına yönetim kayyımı atanması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VESAYET MAKAMI SIFATIYLA GÖREVLİ SULH HUKUK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yönetim kayyımı atanması talep dilekçesi kapsamında, aşağıda açıklanan somut olay ve ekli belgelere dayanılarak malvarlığına yönetim kayyımı atanması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Talep tek bir hukuki işlem için temsil değil, belirlenen malvarlığının korunması ve düzenli yönetimi içindir; yönetimsizlik somut zarar riski doğurmuştur. Bu sonuç Ek-[numara] belgesi ile doğrulanmaktadır. Belgenin tarihi, düzenleyeni ve olaya bağlantısı aşağıdaki delil listesinde ayrıca gösterilmiştir.</w:t>
      </w:r>
    </w:p>
    <w:p>
      <w:r/>
    </w:p>
    <w:p>
      <w:r>
        <w:t>4. Hukuki değerlendirme</w:t>
      </w:r>
    </w:p>
    <w:p>
      <w:r>
        <w:t>TMK 427, bir kimsenin uzun süreden beri bulunamaması ve oturduğu yerin bilinmemesi, malvarlığını yönetmekten yoksun veya kendi isteğiyle yönetmekten kaçınması ve benzeri kanuni hâllerde yönetim kayyımı atanmasına imkân verir. Somut olayda [belge ve olgu] bu hükmün aradığı koşulu karşılamaktadır. Karşılaştırma, varsayıma değil dilekçe ekindeki tarihli kayıtlara dayanmaktadır.</w:t>
      </w:r>
    </w:p>
    <w:p>
      <w:r/>
    </w:p>
    <w:p>
      <w:r>
        <w:t>5. Süre ve yetki</w:t>
      </w:r>
    </w:p>
    <w:p>
      <w:r>
        <w:t>Korunması gereken malvarlığı sahipsiz veya yönetimsiz kaldığında gecikmeden başvurulur; TMK 427 özel bir gün süresi belirlemez. Başvuru Vesayet makamı sıfatıyla görevli sulh hukuk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TMK 427, bir kimsenin uzun süreden beri bulunamaması ve oturduğu yerin bilinmemesi, malvarlığını yönetmekten yoksun veya kendi isteğiyle yönetmekten kaçınması ve benzeri kanuni hâllerde yönetim kayyımı atanmasına imkân verir ve ilgili ikincil mevzuat.</w:t>
      </w:r>
    </w:p>
    <w:p>
      <w:r/>
    </w:p>
    <w:p>
      <w:pPr>
        <w:jc w:val="center"/>
      </w:pPr>
      <w:r>
        <w:rPr>
          <w:b/>
        </w:rPr>
        <w:t>DELİLLER</w:t>
      </w:r>
    </w:p>
    <w:p>
      <w:r>
        <w:t>1. Malvarlığı listesi ve tapu veya hesap kayıtları</w:t>
      </w:r>
    </w:p>
    <w:p>
      <w:r>
        <w:t>2. İlgilinin bulunamadığını ya da yönetemediğini gösteren belgeler</w:t>
      </w:r>
    </w:p>
    <w:p>
      <w:r>
        <w:t>3. Vergi, aidat, kira veya bakım borçlarını gösteren kayıtlar</w:t>
      </w:r>
    </w:p>
    <w:p>
      <w:r>
        <w:t>4. Önerilen kayyıma ilişkin bilgiler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Malvarlığına yönetim kayyımı atanması,</w:t>
      </w:r>
    </w:p>
    <w:p>
      <w:r>
        <w:t>2. Envanter çıkarılması ve düzenli hesap verilmesi,</w:t>
      </w:r>
    </w:p>
    <w:p>
      <w:r>
        <w:t>3. Acil koruma tedbirlerinin uygulanması,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Yönetim Kayyımı Atanması Talep Dilekçesi</dc:title>
  <dc:subject>TMK m.427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