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Vasi Tarafından Mirasın Reddi İçin İzin Dilekçesi</w:t>
      </w:r>
    </w:p>
    <w:p>
      <w:pPr>
        <w:jc w:val="center"/>
      </w:pPr>
      <w:r>
        <w:rPr>
          <w:i/>
        </w:rPr>
        <w:t>TMK m.462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Vesayet dosyasını yürüten sulh hukuk mahkemesi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Mirasın reddi için TMK 606'daki üç aylık süre dolmadan hem izin talebi hem ret iradesi yönünden dosya güvenle kurulmalıdır.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TMK m.462</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kısıtlı adına mirasın reddine izin verilmesi</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VESAYET DOSYASINI YÜRÜTEN SULH HUKUK MAHKEMESİ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vasi tarafından mirasın reddi için izin dilekçesi kapsamında, aşağıda açıklanan somut olay ve ekli belgelere dayanılarak kısıtlı adına mirasın reddine izin verilmesi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Tereke borca batık veya kabul kısıtlının yararına değildir; karar, güncel borç ve malvarlığı araştırmasına dayanmaktadır. Bu sonuç Ek-[numara] belgesi ile doğrulanmaktadır. Belgenin tarihi, düzenleyeni ve olaya bağlantısı aşağıdaki delil listesinde ayrıca gösterilmiştir.</w:t>
      </w:r>
    </w:p>
    <w:p>
      <w:r/>
    </w:p>
    <w:p>
      <w:r>
        <w:t>4. Hukuki değerlendirme</w:t>
      </w:r>
    </w:p>
    <w:p>
      <w:r>
        <w:t>TMK 462, mirasın kabulü veya reddi gibi önemli işlemleri vesayet makamının iznine bağlar. Ret süresi TMK 606 uyarınca yasal mirasçılar için kural olarak mirasçının ölümü ve mirasçılık sıfatını öğrenmesinden itibaren üç aydır. Somut olayda [belge ve olgu] bu hükmün aradığı koşulu karşılamaktadır. Karşılaştırma, varsayıma değil dilekçe ekindeki tarihli kayıtlara dayanmaktadır.</w:t>
      </w:r>
    </w:p>
    <w:p>
      <w:r/>
    </w:p>
    <w:p>
      <w:r>
        <w:t>5. Süre ve yetki</w:t>
      </w:r>
    </w:p>
    <w:p>
      <w:r>
        <w:t>Mirasın reddi için TMK 606'daki üç aylık süre dolmadan hem izin talebi hem ret iradesi yönünden dosya güvenle kurulmalıdır. Başvuru Vesayet dosyasını yürüten sulh hukuk mahkemesi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TMK 462, mirasın kabulü veya reddi gibi önemli işlemleri vesayet makamının iznine bağlar ve ilgili ikincil mevzuat.</w:t>
      </w:r>
    </w:p>
    <w:p>
      <w:r/>
    </w:p>
    <w:p>
      <w:pPr>
        <w:jc w:val="center"/>
      </w:pPr>
      <w:r>
        <w:rPr>
          <w:b/>
        </w:rPr>
        <w:t>DELİLLER</w:t>
      </w:r>
    </w:p>
    <w:p>
      <w:r>
        <w:t>1. Veraset ilamı ve ölüm belgesi</w:t>
      </w:r>
    </w:p>
    <w:p>
      <w:r>
        <w:t>2. Tereke aktif ve pasif listesi</w:t>
      </w:r>
    </w:p>
    <w:p>
      <w:r>
        <w:t>3. İcra ve vergi borcu kayıtları</w:t>
      </w:r>
    </w:p>
    <w:p>
      <w:r>
        <w:t>4. Vesayet kararı</w:t>
      </w:r>
    </w:p>
    <w:p>
      <w:r>
        <w:t>5. Ret süresinin başlangıcını gösteren tebligat veya öğrenme belgesi</w:t>
      </w:r>
    </w:p>
    <w:p>
      <w:r>
        <w:t>6. Kurum ve dosya kayıtları ile gerektiğinde bilirkişi/uzman incelemesi</w:t>
      </w:r>
    </w:p>
    <w:p>
      <w:r>
        <w:t>7. Her türlü yasal delil</w:t>
      </w:r>
    </w:p>
    <w:p>
      <w:r/>
    </w:p>
    <w:p>
      <w:pPr>
        <w:jc w:val="center"/>
      </w:pPr>
      <w:r>
        <w:rPr>
          <w:b/>
        </w:rPr>
        <w:t>SONUÇ VE İSTEM</w:t>
      </w:r>
    </w:p>
    <w:p>
      <w:r>
        <w:t>Yukarıda açıklanan nedenlerle;</w:t>
      </w:r>
    </w:p>
    <w:p>
      <w:r>
        <w:t>1. Kısıtlı adına mirasın reddine izin verilmesi,</w:t>
      </w:r>
    </w:p>
    <w:p>
      <w:r>
        <w:t>2. Gerekiyorsa tereke borçlarının araştırılması,</w:t>
      </w:r>
    </w:p>
    <w:p>
      <w:r>
        <w:t>3. Kararın ret beyanında kullanılmak üzere verilmesi,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https://www.mevzuat.gov.tr/mevzuatmetin/1.5.4721.pdf</w:t>
      </w:r>
    </w:p>
    <w:p>
      <w:r>
        <w:t>https://www.adalet.gov.tr/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Vasi Tarafından Mirasın Reddi İçin İzin Dilekçesi</dc:title>
  <dc:subject>TMK m.462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