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Evlat Edinmeye İzin Dilekçesi</w:t>
      </w:r>
    </w:p>
    <w:p>
      <w:pPr>
        <w:jc w:val="center"/>
      </w:pPr>
      <w:r>
        <w:rPr>
          <w:i/>
        </w:rPr>
        <w:t>TMK m.305-320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Evlat edinenin yerleşim yerindeki aile mahkemesi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Küçük en az bir yıl süreyle bakılıp eğitildikten ve kanuni rızalar tamamlandıktan sonra dava açılır.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TMK m.305-320</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evlat edinme ilişkisinin kurulması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EVLAT EDİNENİN YERLEŞİM YERİNDEKİ AİLE MAHKEMESİ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evlat edinmeye izin dilekçesi kapsamında, aşağıda açıklanan somut olay ve ekli belgelere dayanılarak evlat edinme ilişkisinin kurulması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Evlat edinme küçüğün üstün yararınadır; bakım süresi, aile ilişkileri, rızalar ve yaş şartları dosyada somutlaştırılmıştır. Bu sonuç Ek-[numara] belgesi ile doğrulanmaktadır. Belgenin tarihi, düzenleyeni ve olaya bağlantısı aşağıdaki delil listesinde ayrıca gösterilmiştir.</w:t>
      </w:r>
    </w:p>
    <w:p>
      <w:r/>
    </w:p>
    <w:p>
      <w:r>
        <w:t>4. Hukuki değerlendirme</w:t>
      </w:r>
    </w:p>
    <w:p>
      <w:r>
        <w:t>TMK 305 ve devamı, küçüğün evlat edinilmesini onun yararı, en az bir yıllık bakım ve eğitim, yaş farkı, eşlerin birlikte başvurması ve gerekli rızalar gibi koşullara bağlar. Karar, TMK 315 uyarınca mahkeme hükmüyle kurulur. Somut olayda [belge ve olgu] bu hükmün aradığı koşulu karşılamaktadır. Karşılaştırma, varsayıma değil dilekçe ekindeki tarihli kayıtlara dayanmaktadır.</w:t>
      </w:r>
    </w:p>
    <w:p>
      <w:r/>
    </w:p>
    <w:p>
      <w:r>
        <w:t>5. Süre ve yetki</w:t>
      </w:r>
    </w:p>
    <w:p>
      <w:r>
        <w:t>Küçük en az bir yıl süreyle bakılıp eğitildikten ve kanuni rızalar tamamlandıktan sonra dava açılır. Başvuru Evlat edinenin yerleşim yerindeki aile mahkemesi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TMK 305 ve devamı, küçüğün evlat edinilmesini onun yararı, en az bir yıllık bakım ve eğitim, yaş farkı, eşlerin birlikte başvurması ve gerekli rızalar gibi koşullara bağlar ve ilgili ikincil mevzuat.</w:t>
      </w:r>
    </w:p>
    <w:p>
      <w:r/>
    </w:p>
    <w:p>
      <w:pPr>
        <w:jc w:val="center"/>
      </w:pPr>
      <w:r>
        <w:rPr>
          <w:b/>
        </w:rPr>
        <w:t>DELİLLER</w:t>
      </w:r>
    </w:p>
    <w:p>
      <w:r>
        <w:t>1. Nüfus kayıtları</w:t>
      </w:r>
    </w:p>
    <w:p>
      <w:r>
        <w:t>2. Bakım ve eğitim süresini gösteren sosyal hizmet kayıtları</w:t>
      </w:r>
    </w:p>
    <w:p>
      <w:r>
        <w:t>3. Gelir ve konut belgeleri</w:t>
      </w:r>
    </w:p>
    <w:p>
      <w:r>
        <w:t>4. Sağlık ve adli sicil belgeleri</w:t>
      </w:r>
    </w:p>
    <w:p>
      <w:r>
        <w:t>5. Kanuni rıza belgeleri</w:t>
      </w:r>
    </w:p>
    <w:p>
      <w:r>
        <w:t>6. Kurum ve dosya kayıtları ile gerektiğinde bilirkişi/uzman incelemesi</w:t>
      </w:r>
    </w:p>
    <w:p>
      <w:r>
        <w:t>7. Her türlü yasal delil</w:t>
      </w:r>
    </w:p>
    <w:p>
      <w:r/>
    </w:p>
    <w:p>
      <w:pPr>
        <w:jc w:val="center"/>
      </w:pPr>
      <w:r>
        <w:rPr>
          <w:b/>
        </w:rPr>
        <w:t>SONUÇ VE İSTEM</w:t>
      </w:r>
    </w:p>
    <w:p>
      <w:r>
        <w:t>Yukarıda açıklanan nedenlerle;</w:t>
      </w:r>
    </w:p>
    <w:p>
      <w:r>
        <w:t>1. Evlat edinme ilişkisinin kurulması,</w:t>
      </w:r>
    </w:p>
    <w:p>
      <w:r>
        <w:t>2. Sosyal inceleme ve gerekli kurum araştırmalarının yapılması,</w:t>
      </w:r>
    </w:p>
    <w:p>
      <w:r>
        <w:t>3. Kararın nüfus müdürlüğüne bildirilmesi,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https://www.mevzuat.gov.tr/mevzuatmetin/1.5.4721.pdf</w:t>
      </w:r>
    </w:p>
    <w:p>
      <w:r>
        <w:t>https://www.aile.gov.tr/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Evlat Edinmeye İzin Dilekçesi</dc:title>
  <dc:subject>TMK m.305-320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