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Vergi Özelgesi Talep Dilekçesi</w:t>
      </w:r>
    </w:p>
    <w:p>
      <w:pPr>
        <w:jc w:val="center"/>
      </w:pPr>
      <w:r>
        <w:rPr>
          <w:i/>
        </w:rPr>
        <w:t>VUK m.413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Yetkili vergi dairesi başkanlığı veya defterdarlık; elektronik başvuruda Dijital Vergi Dairesi</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İşlem kurulmadan ve konu hakkında vergi incelemesi, yargılama veya uzlaşma başlamadan önce başvurulması güvenli yoldur.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VUK m.413</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somut olayda uygulanacak vergi hükmünün açıklanması</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YETKİLİ VERGİ DAİRESİ BAŞKANLIĞI VEYA DEFTERDARLIK; ELEKTRONİK BAŞVURUDA DİJİTAL VERGİ DAİRESİ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vergi özelgesi talep dilekçesi kapsamında, aşağıda açıklanan somut olay ve ekli belgelere dayanılarak somut olayda uygulanacak vergi hükmünün açıklanması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Talep genel danışma değil, başvurucunun gerçekleştireceği somut işlem ve kendi vergisel durumuna ilişkindir; tüm maddi olgular eksiksiz açıklanmıştır. Bu sonuç Ek-[numara] belgesi ile doğrulanmaktadır. Belgenin tarihi, düzenleyeni ve olaya bağlantısı aşağıdaki delil listesinde ayrıca gösterilmiştir.</w:t>
      </w:r>
    </w:p>
    <w:p>
      <w:r/>
    </w:p>
    <w:p>
      <w:r>
        <w:t>4. Hukuki değerlendirme</w:t>
      </w:r>
    </w:p>
    <w:p>
      <w:r>
        <w:t>VUK 413, mükelleflerin vergi durumları ve vergi uygulaması bakımından açık olmayan ya da tereddüt ettikleri konularda idareden yazılı açıklama istemesine imkân verir. Başvuru, Özelge Talep Formu ve olayı tam gösteren eklerle yapılır. Somut olayda [belge ve olgu] bu hükmün aradığı koşulu karşılamaktadır. Karşılaştırma, varsayıma değil dilekçe ekindeki tarihli kayıtlara dayanmaktadır.</w:t>
      </w:r>
    </w:p>
    <w:p>
      <w:r/>
    </w:p>
    <w:p>
      <w:r>
        <w:t>5. Süre ve yetki</w:t>
      </w:r>
    </w:p>
    <w:p>
      <w:r>
        <w:t>İşlem kurulmadan ve konu hakkında vergi incelemesi, yargılama veya uzlaşma başlamadan önce başvurulması güvenli yoldur. Başvuru Yetkili vergi dairesi başkanlığı veya defterdarlık; elektronik başvuruda Dijital Vergi Dairesi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VUK 413, mükelleflerin vergi durumları ve vergi uygulaması bakımından açık olmayan ya da tereddüt ettikleri konularda idareden yazılı açıklama istemesine imkân verir ve ilgili ikincil mevzuat.</w:t>
      </w:r>
    </w:p>
    <w:p>
      <w:r/>
    </w:p>
    <w:p>
      <w:pPr>
        <w:jc w:val="center"/>
      </w:pPr>
      <w:r>
        <w:rPr>
          <w:b/>
        </w:rPr>
        <w:t>DELİLLER</w:t>
      </w:r>
    </w:p>
    <w:p>
      <w:r>
        <w:t>1. Özelge Talep Formu</w:t>
      </w:r>
    </w:p>
    <w:p>
      <w:r>
        <w:t>2. Mükellefiyet bilgileri</w:t>
      </w:r>
    </w:p>
    <w:p>
      <w:r>
        <w:t>3. Sözleşme veya işlem taslağı</w:t>
      </w:r>
    </w:p>
    <w:p>
      <w:r>
        <w:t>4. Tereddüdü doğuran belgeler</w:t>
      </w:r>
    </w:p>
    <w:p>
      <w:r>
        <w:t>5. Temsil hâlinde yetki belgesi</w:t>
      </w:r>
    </w:p>
    <w:p>
      <w:r>
        <w:t>6. Kurum ve dosya kayıtları ile gerektiğinde bilirkişi/uzman incelemesi</w:t>
      </w:r>
    </w:p>
    <w:p>
      <w:r>
        <w:t>7. Her türlü yasal delil</w:t>
      </w:r>
    </w:p>
    <w:p>
      <w:r/>
    </w:p>
    <w:p>
      <w:pPr>
        <w:jc w:val="center"/>
      </w:pPr>
      <w:r>
        <w:rPr>
          <w:b/>
        </w:rPr>
        <w:t>SONUÇ VE İSTEM</w:t>
      </w:r>
    </w:p>
    <w:p>
      <w:r>
        <w:t>Yukarıda açıklanan nedenlerle;</w:t>
      </w:r>
    </w:p>
    <w:p>
      <w:r>
        <w:t>1. Somut olayda uygulanacak vergi hükmünün açıklanması,</w:t>
      </w:r>
    </w:p>
    <w:p>
      <w:r>
        <w:t>2. Özelgenin yazılı veya elektronik olarak bildirilmesi,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https://www.mevzuat.gov.tr/mevzuatmetin/1.4.213.pdf</w:t>
      </w:r>
    </w:p>
    <w:p>
      <w:r>
        <w:t>https://dijital.gib.gov.tr/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Vergi Özelgesi Talep Dilekçesi</dc:title>
  <dc:subject>VUK m.413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