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İzaha Davet Yazısına Cevap Dilekçesi</w:t>
      </w:r>
    </w:p>
    <w:p>
      <w:pPr>
        <w:jc w:val="center"/>
      </w:pPr>
      <w:r>
        <w:rPr>
          <w:i/>
        </w:rPr>
        <w:t>VUK m.370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İzaha davet yazısında belirtilen Ön Tespit ve İzah Değerlendirme Komisyonu; elektronik olarak Dijital Vergi Dairesi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İzaha davet yazısının tebliğinden itibaren 30 gün içinde izah sunulur.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VUK m.370</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izahın yeterli kabulü</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İZAHA DAVET YAZISINDA BELİRTİLEN ÖN TESPİT VE İZAH DEĞERLENDİRME KOMİSYONU; ELEKTRONİK OLARAK DİJİTAL VERGİ DAİRESİ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izaha davet yazısına cevap dilekçesi kapsamında, aşağıda açıklanan somut olay ve ekli belgelere dayanılarak izahın yeterli kabulü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Ön tespitteki veri ile beyan veya kayıt arasındaki farkın hukuki ve muhasebesel nedeni belge zinciriyle açıklanabilmektedir. Bu sonuç Ek-[numara] belgesi ile doğrulanmaktadır. Belgenin tarihi, düzenleyeni ve olaya bağlantısı aşağıdaki delil listesinde ayrıca gösterilmiştir.</w:t>
      </w:r>
    </w:p>
    <w:p>
      <w:r/>
    </w:p>
    <w:p>
      <w:r>
        <w:t>4. Hukuki değerlendirme</w:t>
      </w:r>
    </w:p>
    <w:p>
      <w:r>
        <w:t>VUK 370 ve 519 Sıra No.lu VUK Genel Tebliği, ön tespitle ilgili izahın süresini, değerlendirme usulünü ve sonuçlarını düzenler. Süresinde sunulan izah komisyonca en geç 45 gün içinde değerlendirilir. Somut olayda [belge ve olgu] bu hükmün aradığı koşulu karşılamaktadır. Karşılaştırma, varsayıma değil dilekçe ekindeki tarihli kayıtlara dayanmaktadır.</w:t>
      </w:r>
    </w:p>
    <w:p>
      <w:r/>
    </w:p>
    <w:p>
      <w:r>
        <w:t>5. Süre ve yetki</w:t>
      </w:r>
    </w:p>
    <w:p>
      <w:r>
        <w:t>İzaha davet yazısının tebliğinden itibaren 30 gün içinde izah sunulur. Başvuru İzaha davet yazısında belirtilen Ön Tespit ve İzah Değerlendirme Komisyonu; elektronik olarak Dijital Vergi Dairesi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VUK 370 ve 519 Sıra No ve ilgili ikincil mevzuat.</w:t>
      </w:r>
    </w:p>
    <w:p>
      <w:r/>
    </w:p>
    <w:p>
      <w:pPr>
        <w:jc w:val="center"/>
      </w:pPr>
      <w:r>
        <w:rPr>
          <w:b/>
        </w:rPr>
        <w:t>DELİLLER</w:t>
      </w:r>
    </w:p>
    <w:p>
      <w:r>
        <w:t>1. İzaha davet yazısı ve tebliğ belgesi</w:t>
      </w:r>
    </w:p>
    <w:p>
      <w:r>
        <w:t>2. Defter ve beyanname kayıtları</w:t>
      </w:r>
    </w:p>
    <w:p>
      <w:r>
        <w:t>3. Fatura, banka ve sevk belgeleri</w:t>
      </w:r>
    </w:p>
    <w:p>
      <w:r>
        <w:t>4. Mutabakat ve muhasebe fişleri</w:t>
      </w:r>
    </w:p>
    <w:p>
      <w:r>
        <w:t>5. Teknik hesap tablosu</w:t>
      </w:r>
    </w:p>
    <w:p>
      <w:r>
        <w:t>6. Kurum ve dosya kayıtları ile gerektiğinde bilirkişi/uzman incelemesi</w:t>
      </w:r>
    </w:p>
    <w:p>
      <w:r>
        <w:t>7. Her türlü yasal delil</w:t>
      </w:r>
    </w:p>
    <w:p>
      <w:r/>
    </w:p>
    <w:p>
      <w:pPr>
        <w:jc w:val="center"/>
      </w:pPr>
      <w:r>
        <w:rPr>
          <w:b/>
        </w:rPr>
        <w:t>SONUÇ VE İSTEM</w:t>
      </w:r>
    </w:p>
    <w:p>
      <w:r>
        <w:t>Yukarıda açıklanan nedenlerle;</w:t>
      </w:r>
    </w:p>
    <w:p>
      <w:r>
        <w:t>1. İzahın yeterli kabulü,</w:t>
      </w:r>
    </w:p>
    <w:p>
      <w:r>
        <w:t>2. Ön tespit konusu bakımından inceleme veya takdir komisyonuna sevk yapılmaması,</w:t>
      </w:r>
    </w:p>
    <w:p>
      <w:r>
        <w:t>3. Sonucun yazılı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https://www.mevzuat.gov.tr/mevzuatmetin/1.4.213.pdf</w:t>
      </w:r>
    </w:p>
    <w:p>
      <w:r>
        <w:t>https://cdn.gib.gov.tr/api/gibportal-file/file/getFileResources?objectKey=arsiv%2Fyardim-kaynaklar%2Finfografikler%2Fpdfs%2Fizaha-davet.pdf</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İzaha Davet Yazısına Cevap Dilekçesi</dc:title>
  <dc:subject>VUK m.370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