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İdari Makama İşlem Yapılması İçin Başvuru Dilekçesi</w:t>
      </w:r>
    </w:p>
    <w:p>
      <w:pPr>
        <w:jc w:val="center"/>
      </w:pPr>
      <w:r>
        <w:rPr>
          <w:i/>
        </w:rPr>
        <w:t>İYUK m.10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İşlemi yapmaya yetkili idari makam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Başvurudan sonra 30 gün içinde cevap verilmezse istek reddedilmiş sayılır; bu tarihten itibaren genel dava açma süresi içinde idari dava açılabilir.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İYUK m.10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kanuni işlemin tesis edilmesi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İŞLEMİ YAPMAYA YETKİLİ İDARİ MAKAM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idari makama işlem yapılması için başvuru dilekçesi kapsamında, aşağıda açıklanan somut olay ve ekli belgelere dayanılarak kanuni işlemin tesis edilmesi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İstenen işlem idarenin görev alanındadır; başvurucu ile işlem arasında güncel ve kişisel menfaat bağı vardır.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İYUK 10, ilgililerin haklarında idari davaya konu olabilecek bir işlem veya eylem yapılması için idari makamlara başvurmasını düzenler. Otuz gün içinde cevap verilmemesi zımni ret sonucunu doğurur.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Başvurudan sonra 30 gün içinde cevap verilmezse istek reddedilmiş sayılır; bu tarihten itibaren genel dava açma süresi içinde idari dava açılabilir. Başvuru İşlemi yapmaya yetkili idari makam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İYUK 10, ilgililerin haklarında idari davaya konu olabilecek bir işlem veya eylem yapılması için idari makamlara başvurmasını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Kimlik veya tüzel kişi yetki belgesi</w:t>
      </w:r>
    </w:p>
    <w:p>
      <w:r>
        <w:t>2. Önceki başvuru ve cevaplar</w:t>
      </w:r>
    </w:p>
    <w:p>
      <w:r>
        <w:t>3. İşlemin yapılmasını gerektiren resmi kayıtlar</w:t>
      </w:r>
    </w:p>
    <w:p>
      <w:r>
        <w:t>4. Tebligat ve süre belgeleri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Kanuni işlemin tesis edilmesi,</w:t>
      </w:r>
    </w:p>
    <w:p>
      <w:r>
        <w:t>2. Gerekçeli cevabın yazılı bildirilmesi,</w:t>
      </w:r>
    </w:p>
    <w:p>
      <w:r>
        <w:t>3. Başvuru eklerinin ilgili birime iletilmesi,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https://www.mevzuat.gov.tr/mevzuatmetin/1.5.2577.pdf</w:t>
      </w:r>
    </w:p>
    <w:p>
      <w:r>
        <w:t>https://www.cimer.gov.tr/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İdari Makama İşlem Yapılması İçin Başvuru Dilekçesi</dc:title>
  <dc:subject>İYUK m.10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