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Fesih Sebebinin Yazılı Bildirilmesi Talep Dilekçesi</w:t>
      </w:r>
    </w:p>
    <w:p>
      <w:pPr>
        <w:jc w:val="center"/>
      </w:pPr>
      <w:r>
        <w:rPr>
          <w:i/>
        </w:rPr>
        <w:t>4857 m.19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İşveren veya işveren vekili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Fesih bildirimi alındığında derhâl istenir; işe iade yönünden fesih bildiriminin tebliğinden itibaren bir ay içinde arabulucuya başvuru süresi kaçırılmamalıdır.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4857 m.19</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fesih sebebinin açık ve kesin biçimde yazılı bildirilmesi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İŞVEREN VEYA İŞVEREN VEKİLİ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fesih sebebinin yazılı bildirilmesi talep dilekçesi kapsamında, aşağıda açıklanan somut olay ve ekli belgelere dayanılarak fesih sebebinin açık ve kesin biçimde yazılı bildirilmesi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Sözlü, kodlu veya belirsiz fesih açıklaması yapılmış; somut olay, tarih ve isnat açıkça bildirilmemiştir. Bu sonuç Ek-[numara] belgesi ile doğrulanmaktadır. Belgenin tarihi, düzenleyeni ve olaya bağlantısı aşağıdaki delil listesinde ayrıca gösterilmiştir.</w:t>
      </w:r>
    </w:p>
    <w:p>
      <w:r/>
    </w:p>
    <w:p>
      <w:r>
        <w:t>4. Hukuki değerlendirme</w:t>
      </w:r>
    </w:p>
    <w:p>
      <w:r>
        <w:t>İş Kanunu 19, belirsiz süreli iş sözleşmesinin feshinde sebebin açık ve kesin biçimde yazılı gösterilmesini zorunlu kılar. İşçinin davranışı veya verimi ileri sürülüyorsa kural olarak savunması alınmadan fesih yapılamaz. Somut olayda [belge ve olgu] bu hükmün aradığı koşulu karşılamaktadır. Karşılaştırma, varsayıma değil dilekçe ekindeki tarihli kayıtlara dayanmaktadır.</w:t>
      </w:r>
    </w:p>
    <w:p>
      <w:r/>
    </w:p>
    <w:p>
      <w:r>
        <w:t>5. Süre ve yetki</w:t>
      </w:r>
    </w:p>
    <w:p>
      <w:r>
        <w:t>Fesih bildirimi alındığında derhâl istenir; işe iade yönünden fesih bildiriminin tebliğinden itibaren bir ay içinde arabulucuya başvuru süresi kaçırılmamalıdır. Başvuru İşveren veya işveren vekili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İş Kanunu 19, belirsiz süreli iş sözleşmesinin feshinde sebebin açık ve kesin biçimde yazılı gösterilmesini zorunlu kılar ve ilgili ikincil mevzuat.</w:t>
      </w:r>
    </w:p>
    <w:p>
      <w:r/>
    </w:p>
    <w:p>
      <w:pPr>
        <w:jc w:val="center"/>
      </w:pPr>
      <w:r>
        <w:rPr>
          <w:b/>
        </w:rPr>
        <w:t>DELİLLER</w:t>
      </w:r>
    </w:p>
    <w:p>
      <w:r>
        <w:t>1. Fesih bildirimi</w:t>
      </w:r>
    </w:p>
    <w:p>
      <w:r>
        <w:t>2. SGK işten ayrılış kaydı</w:t>
      </w:r>
    </w:p>
    <w:p>
      <w:r>
        <w:t>3. İş sözleşmesi</w:t>
      </w:r>
    </w:p>
    <w:p>
      <w:r>
        <w:t>4. E-posta ve mesajlar</w:t>
      </w:r>
    </w:p>
    <w:p>
      <w:r>
        <w:t>5. Varsa savunma istemi</w:t>
      </w:r>
    </w:p>
    <w:p>
      <w:r>
        <w:t>6. Kurum ve dosya kayıtları ile gerektiğinde bilirkişi/uzman incelemesi</w:t>
      </w:r>
    </w:p>
    <w:p>
      <w:r>
        <w:t>7. Her türlü yasal delil</w:t>
      </w:r>
    </w:p>
    <w:p>
      <w:r/>
    </w:p>
    <w:p>
      <w:pPr>
        <w:jc w:val="center"/>
      </w:pPr>
      <w:r>
        <w:rPr>
          <w:b/>
        </w:rPr>
        <w:t>SONUÇ VE İSTEM</w:t>
      </w:r>
    </w:p>
    <w:p>
      <w:r>
        <w:t>Yukarıda açıklanan nedenlerle;</w:t>
      </w:r>
    </w:p>
    <w:p>
      <w:r>
        <w:t>1. Fesih sebebinin açık ve kesin biçimde yazılı bildirilmesi,</w:t>
      </w:r>
    </w:p>
    <w:p>
      <w:r>
        <w:t>2. Fesih ve özlük belgelerinin örneklerinin verilmesi,</w:t>
      </w:r>
    </w:p>
    <w:p>
      <w:r>
        <w:t>3. Yasal hakların saklı tutulduğunun kayda alınması,</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https://www.mevzuat.gov.tr/mevzuatmetin/1.5.4857.pdf</w:t>
      </w:r>
    </w:p>
    <w:p>
      <w:r>
        <w:t>https://www.csgb.gov.tr/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Fesih Sebebinin Yazılı Bildirilmesi Talep Dilekçesi</dc:title>
  <dc:subject>4857 m.19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