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Kısa Çalışma Ödeneği Red Kararına İtiraz Dilekçesi</w:t>
      </w:r>
    </w:p>
    <w:p>
      <w:pPr>
        <w:jc w:val="center"/>
      </w:pPr>
      <w:r>
        <w:rPr>
          <w:i/>
        </w:rPr>
        <w:t>4447 Ek m.2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Başvuruyu inceleyen İŞKUR il müdürlüğü veya hizmet merkezi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Ret yazısında özel itiraz süresi gösterilmişse o süre uygulanır; aksi hâlde gecikmeden idari başvuru yapılmalı ve dava süresi ayrıca korunmalıdır.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4447 Ek m.2</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ret kararının yeniden incelenmesi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BAŞVURUYU İNCELEYEN İŞKUR İL MÜDÜRLÜĞÜ VEYA HİZMET MERKEZİ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kısa çalışma ödeneği red kararına itiraz dilekçesi kapsamında, aşağıda açıklanan somut olay ve ekli belgelere dayanılarak ret kararının yeniden incelenmesi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Ret gerekçesi hatalı işyeri veya sigortalılık verisine, eksik belgeye ya da uygunluk tespitinin yanlış okunmasına dayanmaktadır. Bu sonuç Ek-[numara] belgesi ile doğrulanmaktadır. Belgenin tarihi, düzenleyeni ve olaya bağlantısı aşağıdaki delil listesinde ayrıca gösterilmiştir.</w:t>
      </w:r>
    </w:p>
    <w:p>
      <w:r/>
    </w:p>
    <w:p>
      <w:r>
        <w:t>4. Hukuki değerlendirme</w:t>
      </w:r>
    </w:p>
    <w:p>
      <w:r>
        <w:t>4447 sayılı Kanunun ek 2. maddesi kısa çalışma koşullarını ve ödeneği düzenler. İtiraz, işyerinin kısa çalışma uygunluğu, prim ve hizmet verileri ile çalışan listesi bakımından ret gerekçesine doğrudan cevap vermelidir. Somut olayda [belge ve olgu] bu hükmün aradığı koşulu karşılamaktadır. Karşılaştırma, varsayıma değil dilekçe ekindeki tarihli kayıtlara dayanmaktadır.</w:t>
      </w:r>
    </w:p>
    <w:p>
      <w:r/>
    </w:p>
    <w:p>
      <w:r>
        <w:t>5. Süre ve yetki</w:t>
      </w:r>
    </w:p>
    <w:p>
      <w:r>
        <w:t>Ret yazısında özel itiraz süresi gösterilmişse o süre uygulanır; aksi hâlde gecikmeden idari başvuru yapılmalı ve dava süresi ayrıca korunmalıdır. Başvuru Başvuruyu inceleyen İŞKUR il müdürlüğü veya hizmet merkezi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4447 sayılı Kanunun ek 2 ve ilgili ikincil mevzuat.</w:t>
      </w:r>
    </w:p>
    <w:p>
      <w:r/>
    </w:p>
    <w:p>
      <w:pPr>
        <w:jc w:val="center"/>
      </w:pPr>
      <w:r>
        <w:rPr>
          <w:b/>
        </w:rPr>
        <w:t>DELİLLER</w:t>
      </w:r>
    </w:p>
    <w:p>
      <w:r>
        <w:t>1. Ret yazısı ve tebliğ belgesi</w:t>
      </w:r>
    </w:p>
    <w:p>
      <w:r>
        <w:t>2. Kısa çalışma başvuru evrakı</w:t>
      </w:r>
    </w:p>
    <w:p>
      <w:r>
        <w:t>3. Prim ve hizmet dökümleri</w:t>
      </w:r>
    </w:p>
    <w:p>
      <w:r>
        <w:t>4. Uygunluk tespit raporu</w:t>
      </w:r>
    </w:p>
    <w:p>
      <w:r>
        <w:t>5. Çalışan listesi ve bordrolar</w:t>
      </w:r>
    </w:p>
    <w:p>
      <w:r>
        <w:t>6. Kurum ve dosya kayıtları ile gerektiğinde bilirkişi/uzman incelemesi</w:t>
      </w:r>
    </w:p>
    <w:p>
      <w:r>
        <w:t>7. Her türlü yasal delil</w:t>
      </w:r>
    </w:p>
    <w:p>
      <w:r/>
    </w:p>
    <w:p>
      <w:pPr>
        <w:jc w:val="center"/>
      </w:pPr>
      <w:r>
        <w:rPr>
          <w:b/>
        </w:rPr>
        <w:t>SONUÇ VE İSTEM</w:t>
      </w:r>
    </w:p>
    <w:p>
      <w:r>
        <w:t>Yukarıda açıklanan nedenlerle;</w:t>
      </w:r>
    </w:p>
    <w:p>
      <w:r>
        <w:t>1. Ret kararının yeniden incelenmesi,</w:t>
      </w:r>
    </w:p>
    <w:p>
      <w:r>
        <w:t>2. Hatalı verilerin düzeltilmesi,</w:t>
      </w:r>
    </w:p>
    <w:p>
      <w:r>
        <w:t>3. Koşulları sağlayan dönem için ödeneğin bağlanması,</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https://www.mevzuat.gov.tr/mevzuatmetin/1.5.4447.pdf</w:t>
      </w:r>
    </w:p>
    <w:p>
      <w:r>
        <w:t>https://www.iskur.gov.tr/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Kısa Çalışma Ödeneği Red Kararına İtiraz Dilekçesi</dc:title>
  <dc:subject>4447 Ek m.2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