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Garanti Kapsamında Azami Tamir Süresi Aşıldığı İçin Değişim Dilekçesi</w:t>
      </w:r>
    </w:p>
    <w:p>
      <w:pPr>
        <w:jc w:val="center"/>
      </w:pPr>
      <w:r>
        <w:rPr>
          <w:i/>
        </w:rPr>
        <w:t>6502 m.11 ve Garanti Belgesi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Satıcı, üretici veya ithalatçı; uyuşmazlıkta tüketici hakem heyeti ya da tüketici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Azami tamir süresi dolduğunda seçimlik hak derhâl yazılı kullanılmalıdır; genel sorumluluk süresi ve garanti süresi ayrıca kontrol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6502 m.11 ve Garanti Belgesi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ayıpsız misliyle değişim</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SATICI, ÜRETİCİ VEYA İTHALATÇI; UYUŞMAZLIKTA TÜKETİCİ HAKEM HEYETİ YA DA TÜKETİCİ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garanti kapsamında azami tamir süresi aşıldığı için değişim dilekçesi kapsamında, aşağıda açıklanan somut olay ve ekli belgelere dayanılarak ayıpsız misliyle değişim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Yetkili servis teslim tarihi ile teslim veya hâlen onarımda bulunma durumu servis fişiyle sabittir; ilgili ürün için öngörülen azami süre aşılmıştır. Bu sonuç Ek-[numara] belgesi ile doğrulanmaktadır. Belgenin tarihi, düzenleyeni ve olaya bağlantısı aşağıdaki delil listesinde ayrıca gösterilmiştir.</w:t>
      </w:r>
    </w:p>
    <w:p>
      <w:r/>
    </w:p>
    <w:p>
      <w:r>
        <w:t>4. Hukuki değerlendirme</w:t>
      </w:r>
    </w:p>
    <w:p>
      <w:r>
        <w:t>6502 sayılı Kanun 11 ile Garanti Belgesi Yönetmeliği, ücretsiz onarım hakkı kullanıldığında azami tamir süresinin aşılması veya onarımın mümkün olmaması hâllerinde tüketicinin bedel iadesi, bedel indirimi ya da ayıpsız misliyle değişim istemesine imkân verir. Ürün grubuna ait güncel azami süre Yönetmelik eki listeden belirlenir. Somut olayda [belge ve olgu] bu hükmün aradığı koşulu karşılamaktadır. Karşılaştırma, varsayıma değil dilekçe ekindeki tarihli kayıtlara dayanmaktadır.</w:t>
      </w:r>
    </w:p>
    <w:p>
      <w:r/>
    </w:p>
    <w:p>
      <w:r>
        <w:t>5. Süre ve yetki</w:t>
      </w:r>
    </w:p>
    <w:p>
      <w:r>
        <w:t>Azami tamir süresi dolduğunda seçimlik hak derhâl yazılı kullanılmalıdır; genel sorumluluk süresi ve garanti süresi ayrıca kontrol edilir. Başvuru Satıcı, üretici veya ithalatçı; uyuşmazlıkta tüketici hakem heyeti ya da tüketici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6502 sayılı Kanun 11 ile Garanti Belgesi Yönetmeliği, ücretsiz onarım hakkı kullanıldığında azami tamir süresinin aşılması veya onarımın mümkün olmaması hâllerinde tüketicinin bedel iadesi, bedel indirimi ya da ayıpsız misliyle değişim istemesine imkân verir ve ilgili ikincil mevzuat.</w:t>
      </w:r>
    </w:p>
    <w:p>
      <w:r/>
    </w:p>
    <w:p>
      <w:pPr>
        <w:jc w:val="center"/>
      </w:pPr>
      <w:r>
        <w:rPr>
          <w:b/>
        </w:rPr>
        <w:t>DELİLLER</w:t>
      </w:r>
    </w:p>
    <w:p>
      <w:r>
        <w:t>1. Fatura ve garanti belgesi</w:t>
      </w:r>
    </w:p>
    <w:p>
      <w:r>
        <w:t>2. Servis kabul fişi</w:t>
      </w:r>
    </w:p>
    <w:p>
      <w:r>
        <w:t>3. Onarım takip kayıtları</w:t>
      </w:r>
    </w:p>
    <w:p>
      <w:r>
        <w:t>4. Yazışmalar</w:t>
      </w:r>
    </w:p>
    <w:p>
      <w:r>
        <w:t>5. Ürün seri numarası belgesi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Ayıpsız misliyle değişim,</w:t>
      </w:r>
    </w:p>
    <w:p>
      <w:r>
        <w:t>2. Stok yokluğu ileri sürülürse güncel bedelin iadesi,</w:t>
      </w:r>
    </w:p>
    <w:p>
      <w:r>
        <w:t>3. Nakliye ve kurulum giderlerinin satıcıca karşılanması,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https://www.mevzuat.gov.tr/mevzuatmetin/1.5.6502.pdf</w:t>
      </w:r>
    </w:p>
    <w:p>
      <w:r>
        <w:t>https://www.ticaret.gov.tr/tuketici/tuketici-bilgi-rehberi/garanti-belgesi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Garanti Kapsamında Azami Tamir Süresi Aşıldığı İçin Değişim Dilekçesi</dc:title>
  <dc:subject>6502 m.11 ve Garanti Belgesi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