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İyi Hâl Değerlendirmesine İtiraz Dilekçesi</w:t>
      </w:r>
    </w:p>
    <w:p>
      <w:pPr>
        <w:jc w:val="center"/>
      </w:pPr>
      <w:r>
        <w:rPr>
          <w:i/>
        </w:rPr>
        <w:t>5275 m.89; 4675 m.4-6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İnfaz hâkimliği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İyi hâl kararının öğrenilmesinden itibaren 15 gün ve her hâlde işlem tarihinden itibaren 30 gün içinde şikâyet edilir.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5275 m.89; 4675 m.4-6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olumsuz iyi hâl kararının kaldırılması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İNFAZ HÂKİMLİĞİ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iyi hâl değerlendirmesine itiraz dilekçesi kapsamında, aşağıda açıklanan somut olay ve ekli belgelere dayanılarak olumsuz iyi hâl kararının kaldırılması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Kararda somut gözlem yerine dosyayla çelişen, açıklanmamış veya kanuni ölçüt dışı değerlendirme kullanılmıştır. Bu sonuç Ek-[numara] belgesi ile doğrulanmaktadır. Belgenin tarihi, düzenleyeni ve olaya bağlantısı aşağıdaki delil listesinde ayrıca gösterilmiştir.</w:t>
      </w:r>
    </w:p>
    <w:p>
      <w:r/>
    </w:p>
    <w:p>
      <w:r>
        <w:t>4. Hukuki değerlendirme</w:t>
      </w:r>
    </w:p>
    <w:p>
      <w:r>
        <w:t>5275 sayılı Kanun 89, iyi hâl değerlendirmesinin hükümlünün kurallara uyumu, programlara katılımı, sorumluluk bilinci, yeniden suç işleme ve topluma veya mağdura zarar riski gibi kanuni ölçütlerle yapılmasını emreder. Somut olayda [belge ve olgu] bu hükmün aradığı koşulu karşılamaktadır. Karşılaştırma, varsayıma değil dilekçe ekindeki tarihli kayıtlara dayanmaktadır.</w:t>
      </w:r>
    </w:p>
    <w:p>
      <w:r/>
    </w:p>
    <w:p>
      <w:r>
        <w:t>5. Süre ve yetki</w:t>
      </w:r>
    </w:p>
    <w:p>
      <w:r>
        <w:t>İyi hâl kararının öğrenilmesinden itibaren 15 gün ve her hâlde işlem tarihinden itibaren 30 gün içinde şikâyet edilir. Başvuru İnfaz hâkimliği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5275 sayılı Kanun 89, iyi hâl değerlendirmesinin hükümlünün kurallara uyumu, programlara katılımı, sorumluluk bilinci, yeniden suç işleme ve topluma veya mağdura zarar riski gibi kanuni ölçütlerle yapılmasını emreder ve ilgili ikincil mevzuat.</w:t>
      </w:r>
    </w:p>
    <w:p>
      <w:r/>
    </w:p>
    <w:p>
      <w:pPr>
        <w:jc w:val="center"/>
      </w:pPr>
      <w:r>
        <w:rPr>
          <w:b/>
        </w:rPr>
        <w:t>DELİLLER</w:t>
      </w:r>
    </w:p>
    <w:p>
      <w:r>
        <w:t>1. Gözlem kurulu kararı</w:t>
      </w:r>
    </w:p>
    <w:p>
      <w:r>
        <w:t>2. Kurum disiplin ve ödül kayıtları</w:t>
      </w:r>
    </w:p>
    <w:p>
      <w:r>
        <w:t>3. Eğitim ve program katılım belgeleri</w:t>
      </w:r>
    </w:p>
    <w:p>
      <w:r>
        <w:t>4. Psikososyal servis kayıtları</w:t>
      </w:r>
    </w:p>
    <w:p>
      <w:r>
        <w:t>5. Tebliğ belgesi</w:t>
      </w:r>
    </w:p>
    <w:p>
      <w:r>
        <w:t>6. Kurum ve dosya kayıtları ile gerektiğinde bilirkişi/uzman incelemesi</w:t>
      </w:r>
    </w:p>
    <w:p>
      <w:r>
        <w:t>7. Her türlü yasal delil</w:t>
      </w:r>
    </w:p>
    <w:p>
      <w:r/>
    </w:p>
    <w:p>
      <w:pPr>
        <w:jc w:val="center"/>
      </w:pPr>
      <w:r>
        <w:rPr>
          <w:b/>
        </w:rPr>
        <w:t>SONUÇ VE İSTEM</w:t>
      </w:r>
    </w:p>
    <w:p>
      <w:r>
        <w:t>Yukarıda açıklanan nedenlerle;</w:t>
      </w:r>
    </w:p>
    <w:p>
      <w:r>
        <w:t>1. Olumsuz iyi hâl kararının kaldırılması,</w:t>
      </w:r>
    </w:p>
    <w:p>
      <w:r>
        <w:t>2. Kanuni ölçütlerle yeniden değerlendirme yapılması,</w:t>
      </w:r>
    </w:p>
    <w:p>
      <w:r>
        <w:t>3. Sonucun infaz hesabına işlenmesi,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https://www.mevzuat.gov.tr/mevzuatmetin/1.5.5275.pdf</w:t>
      </w:r>
    </w:p>
    <w:p>
      <w:r>
        <w:t>https://cte.adalet.gov.tr/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İyi Hâl Değerlendirmesine İtiraz Dilekçesi</dc:title>
  <dc:subject>5275 m.89; 4675 m.4-6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