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Marka Başvurusunun Yayımına İtiraz Dilekçesi</w:t>
      </w:r>
    </w:p>
    <w:p>
      <w:pPr>
        <w:jc w:val="center"/>
      </w:pPr>
      <w:r>
        <w:rPr>
          <w:i/>
        </w:rPr>
        <w:t>6769 sayılı SMK m.18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Türk Patent ve Marka Kurumu Markalar Dairesi Başkanlığı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Marka başvurusunun Resmî Marka Bülteninde yayımlanmasından itibaren iki ay içinde itiraz edilir.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6769 sayılı SMK m.18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itirazın kabulü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TÜRK PATENT VE MARKA KURUMU MARKALAR DAİRESİ BAŞKANLIĞI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marka başvurusunun yayımına itiraz dilekçesi kapsamında, aşağıda açıklanan somut olay ve ekli belgelere dayanılarak itirazın kabulü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Başvuru önceki hakla iltibas yaratmakta veya kanundaki başka ret nedenlerinden birini somut mal ve hizmetler yönünden taşımaktadır.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SMK 18, yayımlanmış marka başvurusuna 5 veya 6. maddelerdeki mutlak ya da nispi ret nedenlerine dayanarak itiraz edilmesini düzenler. İtiraz gerekçeli olmalı ve ücret süresinde ödenmelidir.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Marka başvurusunun Resmî Marka Bülteninde yayımlanmasından itibaren iki ay içinde itiraz edilir. Başvuru Türk Patent ve Marka Kurumu Markalar Dairesi Başkanlığı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SMK 18, yayımlanmış marka başvurusuna 5 veya 6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Bülten ilanı</w:t>
      </w:r>
    </w:p>
    <w:p>
      <w:r>
        <w:t>2. Önceki marka tescil belgesi</w:t>
      </w:r>
    </w:p>
    <w:p>
      <w:r>
        <w:t>3. Kullanım ve tanınmışlık delilleri</w:t>
      </w:r>
    </w:p>
    <w:p>
      <w:r>
        <w:t>4. Benzerlik karşılaştırması</w:t>
      </w:r>
    </w:p>
    <w:p>
      <w:r>
        <w:t>5. Ücret ödeme bilgisi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İtirazın kabulü,</w:t>
      </w:r>
    </w:p>
    <w:p>
      <w:r>
        <w:t>2. Başvurunun ilgili mal ve hizmetler yönünden reddi,</w:t>
      </w:r>
    </w:p>
    <w:p>
      <w:r>
        <w:t>3. Delillerin dosyada değerlendirilmesi,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https://www.mevzuat.gov.tr/mevzuatmetin/1.5.6769.pdf</w:t>
      </w:r>
    </w:p>
    <w:p>
      <w:r>
        <w:t>https://www.turkpatent.gov.tr/marka-islem-surecleri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Marka Başvurusunun Yayımına İtiraz Dilekçesi</dc:title>
  <dc:subject>6769 sayılı SMK m.18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