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Marka Başvurusunun Reddine İtiraz Dilekçesi</w:t>
      </w:r>
    </w:p>
    <w:p>
      <w:pPr>
        <w:jc w:val="center"/>
      </w:pPr>
      <w:r>
        <w:rPr>
          <w:i/>
        </w:rPr>
        <w:t>6769 sayılı SMK m.20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Türk Patent ve Marka Kurumu Yeniden İnceleme ve Değerlendirme Dairesi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Ret kararının bildiriminden itibaren iki ay içinde karara itiraz edilir.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6769 sayılı SMK m.20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ret kararının kaldırılması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TÜRK PATENT VE MARKA KURUMU YENİDEN İNCELEME VE DEĞERLENDİRME DAİRESİ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marka başvurusunun reddine itiraz dilekçesi kapsamında, aşağıda açıklanan somut olay ve ekli belgelere dayanılarak ret kararının kaldırılması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Ret gerekçesi işaretin bütünsel izlenimi, ayırt edicilik, mal ve hizmet kapsamı veya sunulan kazanılmış ayırt edicilik delilleriyle bağdaşmamaktadır.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SMK 20, marka başvurusu hakkında verilen kararlardan zarar gören tarafların Kurum nezdinde gerekçeli ve ücretli itirazını düzenler.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Ret kararının bildiriminden itibaren iki ay içinde karara itiraz edilir. Başvuru Türk Patent ve Marka Kurumu Yeniden İnceleme ve Değerlendirme Dairesi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SMK 20, marka başvurusu hakkında verilen kararlardan zarar gören tarafların Kurum nezdinde gerekçeli ve ücretli itirazını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Ret kararı ve bildirim belgesi</w:t>
      </w:r>
    </w:p>
    <w:p>
      <w:r>
        <w:t>2. Marka örneği</w:t>
      </w:r>
    </w:p>
    <w:p>
      <w:r>
        <w:t>3. Mal ve hizmet listesi</w:t>
      </w:r>
    </w:p>
    <w:p>
      <w:r>
        <w:t>4. Kullanım sonucu ayırt edicilik delilleri</w:t>
      </w:r>
    </w:p>
    <w:p>
      <w:r>
        <w:t>5. Emsal Kurum veya mahkeme kararları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Ret kararının kaldırılması,</w:t>
      </w:r>
    </w:p>
    <w:p>
      <w:r>
        <w:t>2. Başvurunun tescil işlemlerine devamı,</w:t>
      </w:r>
    </w:p>
    <w:p>
      <w:r>
        <w:t>3. Gerekçelerin ve delillerin ayrı ayrı değerlendirilmesi,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https://www.mevzuat.gov.tr/mevzuatmetin/1.5.6769.pdf</w:t>
      </w:r>
    </w:p>
    <w:p>
      <w:r>
        <w:t>https://www.turkpatent.gov.tr/marka-islem-surecleri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Marka Başvurusunun Reddine İtiraz Dilekçesi</dc:title>
  <dc:subject>6769 sayılı SMK m.20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