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Markada Kullanım İspatı Talep Dilekçesi</w:t>
      </w:r>
    </w:p>
    <w:p>
      <w:pPr>
        <w:jc w:val="center"/>
      </w:pPr>
      <w:r>
        <w:rPr>
          <w:i/>
        </w:rPr>
        <w:t>6769 sayılı SMK m.19/2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Türk Patent ve Marka Kurumu nezdindeki yayıma itiraz dosyası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Kurumun yayıma itirazı başvuru sahibine bildirdiği cevap süresi içinde kullanım ispatı talep edilmelidir.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6769 sayılı SMK m.19/2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itiraz sahibinden kullanım ispatı istenmesi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TÜRK PATENT VE MARKA KURUMU NEZDİNDEKİ YAYIMA İTİRAZ DOSYASI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markada kullanım ispatı talep dilekçesi kapsamında, aşağıda açıklanan somut olay ve ekli belgelere dayanılarak itiraz sahibinden kullanım ispatı istenmesi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İtiraza dayanak marka beş yıllık süreyi doldurmuştur ve başvuru sahibi, ilgili mal ve hizmetler için ciddi kullanımın ispatını istemektedir.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SMK 19/2, itiraza dayanak marka itiraz konusu başvurunun başvuru veya rüçhan tarihinde en az beş yıldır tescilliyse, başvuru sahibine ciddi kullanımın ispatını isteme hakkı verir. Talep açık ve koşulsuz olmalıdır.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Kurumun yayıma itirazı başvuru sahibine bildirdiği cevap süresi içinde kullanım ispatı talep edilmelidir. Başvuru Türk Patent ve Marka Kurumu nezdindeki yayıma itiraz dosyası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SMK 19/2, itiraza dayanak marka itiraz konusu başvurunun başvuru veya rüçhan tarihinde en az beş yıldır tescilliyse, başvuru sahibine ciddi kullanımın ispatını isteme hakkı verir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Yayıma itiraz bildirimi</w:t>
      </w:r>
    </w:p>
    <w:p>
      <w:r>
        <w:t>2. Dayanak marka sicil bilgileri</w:t>
      </w:r>
    </w:p>
    <w:p>
      <w:r>
        <w:t>3. Başvuru tarihini gösteren belge</w:t>
      </w:r>
    </w:p>
    <w:p>
      <w:r>
        <w:t>4. Mal ve hizmet karşılaştırması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İtiraz sahibinden kullanım ispatı istenmesi,</w:t>
      </w:r>
    </w:p>
    <w:p>
      <w:r>
        <w:t>2. İspatlanmayan mal ve hizmetler bakımından itirazın reddi,</w:t>
      </w:r>
    </w:p>
    <w:p>
      <w:r>
        <w:t>3. Dosyanın SMK 19/2 çerçevesinde incelenmesi,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https://www.mevzuat.gov.tr/mevzuatmetin/1.5.6769.pdf</w:t>
      </w:r>
    </w:p>
    <w:p>
      <w:r>
        <w:t>https://www.turkpatent.gov.tr/marka-islem-surecleri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Markada Kullanım İspatı Talep Dilekçesi</dc:title>
  <dc:subject>6769 sayılı SMK m.19/2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