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Gümrük Uzlaşma Başvuru Dilekçesi</w:t>
      </w:r>
    </w:p>
    <w:p>
      <w:pPr>
        <w:jc w:val="center"/>
      </w:pPr>
      <w:r>
        <w:rPr>
          <w:i/>
        </w:rPr>
        <w:t>4458 m.244 ve Gümrük Uzlaşma Yönetmeliği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Tebliği yapan gümrük idaresinin uzlaşma komisyonu</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Gümrük vergileri veya cezaya ilişkin tebligattan itibaren 15 gün içinde uzlaşma başvurusu yapılır.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4458 m.244 ve Gümrük Uzlaşma Yönetmeliği</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başvurunun süresinde kabulü</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TEBLİĞİ YAPAN GÜMRÜK İDARESİNİN UZLAŞMA KOMİSYONU</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gümrük uzlaşma başvuru dilekçesi kapsamında, aşağıda açıklanan somut olay ve ekli belgelere dayanılarak başvurunun süresinde kabulü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Tebliğ edilen vergi veya cezanın kalemleri, tarife, kıymet, menşe ya da yorum uyuşmazlığı bakımından ayrı ayrı açıklanmıştır. Bu sonuç Ek-[numara] belgesi ile doğrulanmaktadır. Belgenin tarihi, düzenleyeni ve olaya bağlantısı aşağıdaki delil listesinde ayrıca gösterilmiştir.</w:t>
      </w:r>
    </w:p>
    <w:p>
      <w:r/>
    </w:p>
    <w:p>
      <w:r>
        <w:t>4. Hukuki değerlendirme</w:t>
      </w:r>
    </w:p>
    <w:p>
      <w:r>
        <w:t>4458 sayılı Gümrük Kanunu 244 ve Gümrük Uzlaşma Yönetmeliği, beyan ile idarenin tespiti arasındaki farkın kanunun yanlış yorumlanması veya mevzuatın yeterince açık olmaması gibi nedenlerden kaynaklandığı uyuşmazlıklarda uzlaşma yolunu düzenler. Somut olayda [belge ve olgu] bu hükmün aradığı koşulu karşılamaktadır. Karşılaştırma, varsayıma değil dilekçe ekindeki tarihli kayıtlara dayanmaktadır.</w:t>
      </w:r>
    </w:p>
    <w:p>
      <w:r/>
    </w:p>
    <w:p>
      <w:r>
        <w:t>5. Süre ve yetki</w:t>
      </w:r>
    </w:p>
    <w:p>
      <w:r>
        <w:t>Gümrük vergileri veya cezaya ilişkin tebligattan itibaren 15 gün içinde uzlaşma başvurusu yapılır. Başvuru Tebliği yapan gümrük idaresinin uzlaşma komisyonu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4458 sayılı Gümrük Kanunu 244 ve Gümrük Uzlaşma Yönetmeliği, beyan ile idarenin tespiti arasındaki farkın kanunun yanlış yorumlanması veya mevzuatın yeterince açık olmaması gibi nedenlerden kaynaklandığı uyuşmazlıklarda uzlaşma yolunu düzenler ve ilgili ikincil mevzuat.</w:t>
      </w:r>
    </w:p>
    <w:p>
      <w:r/>
    </w:p>
    <w:p>
      <w:pPr>
        <w:jc w:val="center"/>
      </w:pPr>
      <w:r>
        <w:rPr>
          <w:b/>
        </w:rPr>
        <w:t>DELİLLER</w:t>
      </w:r>
    </w:p>
    <w:p>
      <w:r>
        <w:t>1. Vergi ve ceza kararı</w:t>
      </w:r>
    </w:p>
    <w:p>
      <w:r>
        <w:t>2. Tebliğ mazbatası</w:t>
      </w:r>
    </w:p>
    <w:p>
      <w:r>
        <w:t>3. Gümrük beyannamesi</w:t>
      </w:r>
    </w:p>
    <w:p>
      <w:r>
        <w:t>4. Fatura, menşe ve taşıma belgeleri</w:t>
      </w:r>
    </w:p>
    <w:p>
      <w:r>
        <w:t>5. Teknik ürün açıklaması</w:t>
      </w:r>
    </w:p>
    <w:p>
      <w:r>
        <w:t>6. Kurum ve dosya kayıtları ile gerektiğinde bilirkişi/uzman incelemesi</w:t>
      </w:r>
    </w:p>
    <w:p>
      <w:r>
        <w:t>7. Her türlü yasal delil</w:t>
      </w:r>
    </w:p>
    <w:p>
      <w:r/>
    </w:p>
    <w:p>
      <w:pPr>
        <w:jc w:val="center"/>
      </w:pPr>
      <w:r>
        <w:rPr>
          <w:b/>
        </w:rPr>
        <w:t>SONUÇ VE İSTEM</w:t>
      </w:r>
    </w:p>
    <w:p>
      <w:r>
        <w:t>Yukarıda açıklanan nedenlerle;</w:t>
      </w:r>
    </w:p>
    <w:p>
      <w:r>
        <w:t>1. Başvurunun süresinde kabulü,</w:t>
      </w:r>
    </w:p>
    <w:p>
      <w:r>
        <w:t>2. Uzlaşma günü belirlenmesi,</w:t>
      </w:r>
    </w:p>
    <w:p>
      <w:r>
        <w:t>3. Uyuşmazlık konusu vergi ve cezalar yönünden uzlaşma görüşmesi,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https://www.mevzuat.gov.tr/mevzuatmetin/1.5.4458.pdf</w:t>
      </w:r>
    </w:p>
    <w:p>
      <w:r>
        <w:t>https://ticaret.gov.tr/gumruk-islemleri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Gümrük Uzlaşma Başvuru Dilekçesi</dc:title>
  <dc:subject>4458 m.244 ve Gümrük Uzlaşma Yönetmeliği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