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Uyarma ve Kınama Cezasına İtiraz Dilekçesi</w:t>
      </w:r>
    </w:p>
    <w:p>
      <w:pPr>
        <w:jc w:val="center"/>
      </w:pPr>
      <w:r>
        <w:rPr>
          <w:i/>
        </w:rPr>
        <w:t>657 m.135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Kurumun disiplin kurulu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Uyarma veya kınama cezasının tebliğinden itibaren yedi gün içinde itiraz edilir.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657 m.135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cezanın kaldırılması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KURUMUN DİSİPLİN KURULU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uyarma ve kınama cezasına itiraz dilekçesi kapsamında, aşağıda açıklanan somut olay ve ekli belgelere dayanılarak cezanın kaldırılması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Fiil sübut bulmamış, yanlış bent uygulanmış, savunma hakkı kısıtlanmış veya ölçülülük ve gerekçe yükümlülüğü ihlal edilmiştir.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657 sayılı Kanun 135'e göre uyarma, kınama ve aylıktan kesme cezalarına karşı disiplin kuruluna yedi gün içinde itiraz edilebilir; süresinde itiraz edilmeyen ceza kesinleşir. İtiraz mercii 30 gün içinde karar verir.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Uyarma veya kınama cezasının tebliğinden itibaren yedi gün içinde itiraz edilir. Başvuru Kurumun disiplin kurulu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657 sayılı Kanun 135'e göre uyarma, kınama ve aylıktan kesme cezalarına karşı disiplin kuruluna yedi gün içinde itiraz edilebilir; süresinde itiraz edilmeyen ceza kesinleşir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Disiplin cezası ve tebliğ belgesi</w:t>
      </w:r>
    </w:p>
    <w:p>
      <w:r>
        <w:t>2. Soruşturma raporu veya erişilebilen kısmı</w:t>
      </w:r>
    </w:p>
    <w:p>
      <w:r>
        <w:t>3. Savunma ve ekleri</w:t>
      </w:r>
    </w:p>
    <w:p>
      <w:r>
        <w:t>4. Tanık ve görev belgeleri</w:t>
      </w:r>
    </w:p>
    <w:p>
      <w:r>
        <w:t>5. Ödül ve sicil kayıtları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Cezanın kaldırılması,</w:t>
      </w:r>
    </w:p>
    <w:p>
      <w:r>
        <w:t>2. Özlük dosyasındaki kaydın düzeltilmesi,</w:t>
      </w:r>
    </w:p>
    <w:p>
      <w:r>
        <w:t>3. Gerekçeli kararın tebliği,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https://www.mevzuat.gov.tr/mevzuatmetin/1.5.657.pdf</w:t>
      </w:r>
    </w:p>
    <w:p>
      <w:r>
        <w:t>https://www.csgb.gov.tr/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Uyarma ve Kınama Cezasına İtiraz Dilekçesi</dc:title>
  <dc:subject>657 m.135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