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Aylıktan Kesme Cezasına İtiraz Dilekçesi</w:t>
      </w:r>
    </w:p>
    <w:p>
      <w:pPr>
        <w:jc w:val="center"/>
      </w:pPr>
      <w:r>
        <w:rPr>
          <w:i/>
        </w:rPr>
        <w:t>657 m.125 ve m.135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Kurumun disiplin kurulu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Aylıktan kesme cezasının tebliğinden itibaren yedi gün içinde itiraz edilir.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657 m.125 ve m.135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aylıktan kesme cezasının kaldırılması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KURUMUN DİSİPLİN KURULU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aylıktan kesme cezasına itiraz dilekçesi kapsamında, aşağıda açıklanan somut olay ve ekli belgelere dayanılarak aylıktan kesme cezasının kaldırılması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İsnat edilen fiil ile uygulanan alt bent uyuşmamakta, maddi olay eksik incelenmekte veya aylıktan kesme yaptırımı ölçüsüz kalmaktadır.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657 sayılı Kanun 125 aylıktan kesme cezasını ve fiilleri; 135 ise disiplin kuruluna yedi günlük itiraz yolunu düzenler. Kurul itirazı 30 gün içinde karara bağlar.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Aylıktan kesme cezasının tebliğinden itibaren yedi gün içinde itiraz edilir. Başvuru Kurumun disiplin kurulu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657 sayılı Kanun 125 aylıktan kesme cezasını ve fiilleri; 135 ise disiplin kuruluna yedi günlük itiraz yolunu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Ceza kararı ve tebliğ belgesi</w:t>
      </w:r>
    </w:p>
    <w:p>
      <w:r>
        <w:t>2. Soruşturma evrakı</w:t>
      </w:r>
    </w:p>
    <w:p>
      <w:r>
        <w:t>3. Savunma</w:t>
      </w:r>
    </w:p>
    <w:p>
      <w:r>
        <w:t>4. Maaş bordrosu</w:t>
      </w:r>
    </w:p>
    <w:p>
      <w:r>
        <w:t>5. Tanık ve görev kayıtları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Aylıktan kesme cezasının kaldırılması,</w:t>
      </w:r>
    </w:p>
    <w:p>
      <w:r>
        <w:t>2. Yapılmış kesintinin iadesi ve mali kayıtların düzeltilmesi,</w:t>
      </w:r>
    </w:p>
    <w:p>
      <w:r>
        <w:t>3. Kararın gerekçeli tebliği,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https://www.mevzuat.gov.tr/mevzuatmetin/1.5.657.pdf</w:t>
      </w:r>
    </w:p>
    <w:p>
      <w:r>
        <w:t>https://www.csgb.gov.tr/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Aylıktan Kesme Cezasına İtiraz Dilekçesi</dc:title>
  <dc:subject>657 m.125 ve m.135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