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Bilgi Edinme Başvurusunun Reddine İtiraz Dilekçesi</w:t>
      </w:r>
    </w:p>
    <w:p>
      <w:pPr>
        <w:jc w:val="center"/>
      </w:pPr>
      <w:r>
        <w:rPr>
          <w:i/>
        </w:rPr>
        <w:t>4982 m.13 ve m.14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Bilgi Edinme Değerlendirme Kurulu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kararının tebliğinden itibaren 15 gün içinde Kurula itiraz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4982 m.13 ve m.14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kararının kaldırılması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BİLGİ EDİNME DEĞERLENDİRME KURULU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bilgi edinme başvurusunun reddine itiraz dilekçesi kapsamında, aşağıda açıklanan somut olay ve ekli belgelere dayanılarak ret kararının kaldırılması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İstenen bilgi ve belge kurumun görevinden doğmuş, mevcut ve belirlenebilir niteliktedir; ret gerekçesi kanundaki istisnalarla örtüşmemekte veya kısmi erişim seçeneği incelenmemiştir.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4982 sayılı Kanun 13 başvuru usulünü, 14 Bilgi Edinme Değerlendirme Kurulunu düzenler. Kurula itiraz, idari yargıya başvurma süresini durdurur; Kurul 30 iş günü içinde karar verir.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Ret kararının tebliğinden itibaren 15 gün içinde Kurula itiraz edilir. Başvuru Bilgi Edinme Değerlendirme Kurulu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4982 sayılı Kanun 13 başvuru usulünü, 14 Bilgi Edinme Değerlendirme Kurulunu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İlk bilgi edinme başvurusu</w:t>
      </w:r>
    </w:p>
    <w:p>
      <w:r>
        <w:t>2. Ret kararı ve tebliğ belgesi</w:t>
      </w:r>
    </w:p>
    <w:p>
      <w:r>
        <w:t>3. Başvuru kayıt numarası</w:t>
      </w:r>
    </w:p>
    <w:p>
      <w:r>
        <w:t>4. İstenen belgenin varlığını gösteren kayıt</w:t>
      </w:r>
    </w:p>
    <w:p>
      <w:r>
        <w:t>5. Temsil belgesi varsa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Ret kararının kaldırılması,</w:t>
      </w:r>
    </w:p>
    <w:p>
      <w:r>
        <w:t>2. Bilgi veya belgenin erişime açılması,</w:t>
      </w:r>
    </w:p>
    <w:p>
      <w:r>
        <w:t>3. Gizli kısım varsa ayrılarak kalan bölümün verilmesi,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https://www.mevzuat.gov.tr/mevzuatmetin/1.5.4982.pdf</w:t>
      </w:r>
    </w:p>
    <w:p>
      <w:r>
        <w:t>https://bedk.adalet.gov.tr/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Bilgi Edinme Başvurusunun Reddine İtiraz Dilekçesi</dc:title>
  <dc:subject>4982 m.13 ve m.14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