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Üniversite Ders Notundaki Maddi Hataya İtiraz Dilekçesi</w:t>
      </w:r>
    </w:p>
    <w:p>
      <w:pPr>
        <w:jc w:val="center"/>
      </w:pPr>
      <w:r>
        <w:rPr>
          <w:i/>
        </w:rPr>
        <w:t>2547 sayılı Kanun m.44 ve kurum sınav yönetmeliği kapsamında düzenlenebilir Word örneği</w:t>
      </w:r>
    </w:p>
    <w:p>
      <w:r>
        <w:t>Bu belge, başvuruyu doğru makam, süre, olgu, delil ve talep sonucu bakımından kurmaya yardımcı olur. Köşeli parantezli alanları dosyanıza göre doldurun; kullanılmayan satırları silin. İmzadan önce tebligat ve süre belgesini yeniden kontrol edin.</w:t>
      </w:r>
    </w:p>
    <w:p>
      <w:pPr>
        <w:pStyle w:val="Heading1"/>
      </w:pPr>
      <w:r>
        <w:t>Başvuru özeti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816"/>
        <w:gridCol w:w="4816"/>
      </w:tblGrid>
      <w:tr>
        <w:tc>
          <w:tcPr>
            <w:tcW w:type="dxa" w:w="2381"/>
            <w:vAlign w:val="center"/>
            <w:shd w:fill="E8EDF3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</w:rPr>
              <w:t>Yetkili makam</w:t>
            </w:r>
          </w:p>
        </w:tc>
        <w:tc>
          <w:tcPr>
            <w:tcW w:type="dxa" w:w="669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Notu ilan eden fakülte dekanlığı, yüksekokul veya enstitü müdürlüğü</w:t>
            </w:r>
          </w:p>
        </w:tc>
      </w:tr>
      <w:tr>
        <w:tc>
          <w:tcPr>
            <w:tcW w:type="dxa" w:w="2381"/>
            <w:vAlign w:val="center"/>
            <w:shd w:fill="E8EDF3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</w:rPr>
              <w:t>Süre</w:t>
            </w:r>
          </w:p>
        </w:tc>
        <w:tc>
          <w:tcPr>
            <w:tcW w:type="dxa" w:w="669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2547 sayılı Kanun 44 üncü madde ülke çapında tek bir not itiraz süresi koymaz. Öğrencinin bağlı olduğu üniversitenin eğitim-öğretim ve sınav yönetmeliğinde ilan edilen süre, notun öğrenci bilgi sisteminde duyurulduğu tarihi izleyen günden itibaren uygulanır; yönetmelikte süre yoksa başvuru gecikmeksizin yapılır ve olası iptal davası için İYUK 7'deki altmış günlük süre korunur.</w:t>
            </w:r>
          </w:p>
        </w:tc>
      </w:tr>
      <w:tr>
        <w:tc>
          <w:tcPr>
            <w:tcW w:type="dxa" w:w="2381"/>
            <w:vAlign w:val="center"/>
            <w:shd w:fill="E8EDF3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</w:rPr>
              <w:t>Temel dayanak</w:t>
            </w:r>
          </w:p>
        </w:tc>
        <w:tc>
          <w:tcPr>
            <w:tcW w:type="dxa" w:w="669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2547 sayılı Kanun m.44 ve kurum sınav yönetmeliği</w:t>
            </w:r>
          </w:p>
        </w:tc>
      </w:tr>
      <w:tr>
        <w:tc>
          <w:tcPr>
            <w:tcW w:type="dxa" w:w="2381"/>
            <w:vAlign w:val="center"/>
            <w:shd w:fill="E8EDF3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</w:rPr>
              <w:t>Asıl talep</w:t>
            </w:r>
          </w:p>
        </w:tc>
        <w:tc>
          <w:tcPr>
            <w:tcW w:type="dxa" w:w="669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sınav evrakının maddi hata yönünden yeniden incelenmesi</w:t>
            </w:r>
          </w:p>
        </w:tc>
      </w:tr>
    </w:tbl>
    <w:p/>
    <w:p>
      <w:pPr>
        <w:pStyle w:val="Heading1"/>
      </w:pPr>
      <w:r>
        <w:t>Doldurulacak bilgiler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816"/>
        <w:gridCol w:w="4816"/>
      </w:tblGrid>
      <w:tr>
        <w:tc>
          <w:tcPr>
            <w:tcW w:type="dxa" w:w="2381"/>
            <w:vAlign w:val="center"/>
            <w:shd w:fill="E8EDF3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</w:rPr>
              <w:t>Başvuran</w:t>
            </w:r>
          </w:p>
        </w:tc>
        <w:tc>
          <w:tcPr>
            <w:tcW w:type="dxa" w:w="669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[Ad soyad / unvan ve kimlik-vergi numarası]</w:t>
            </w:r>
          </w:p>
        </w:tc>
      </w:tr>
      <w:tr>
        <w:tc>
          <w:tcPr>
            <w:tcW w:type="dxa" w:w="2381"/>
            <w:vAlign w:val="center"/>
            <w:shd w:fill="E8EDF3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</w:rPr>
              <w:t>Adres</w:t>
            </w:r>
          </w:p>
        </w:tc>
        <w:tc>
          <w:tcPr>
            <w:tcW w:type="dxa" w:w="669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[Tebligata elverişli açık adres]</w:t>
            </w:r>
          </w:p>
        </w:tc>
      </w:tr>
      <w:tr>
        <w:tc>
          <w:tcPr>
            <w:tcW w:type="dxa" w:w="2381"/>
            <w:vAlign w:val="center"/>
            <w:shd w:fill="E8EDF3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</w:rPr>
              <w:t>Dosya / işlem no</w:t>
            </w:r>
          </w:p>
        </w:tc>
        <w:tc>
          <w:tcPr>
            <w:tcW w:type="dxa" w:w="669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[Varsa]</w:t>
            </w:r>
          </w:p>
        </w:tc>
      </w:tr>
      <w:tr>
        <w:tc>
          <w:tcPr>
            <w:tcW w:type="dxa" w:w="2381"/>
            <w:vAlign w:val="center"/>
            <w:shd w:fill="E8EDF3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</w:rPr>
              <w:t>Tebliğ / öğrenme tarihi</w:t>
            </w:r>
          </w:p>
        </w:tc>
        <w:tc>
          <w:tcPr>
            <w:tcW w:type="dxa" w:w="669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[gg.aa.yyyy]</w:t>
            </w:r>
          </w:p>
        </w:tc>
      </w:tr>
      <w:tr>
        <w:tc>
          <w:tcPr>
            <w:tcW w:type="dxa" w:w="2381"/>
            <w:vAlign w:val="center"/>
            <w:shd w:fill="E8EDF3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</w:rPr>
              <w:t>Son başvuru günü</w:t>
            </w:r>
          </w:p>
        </w:tc>
        <w:tc>
          <w:tcPr>
            <w:tcW w:type="dxa" w:w="669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[gg.aa.yyyy]</w:t>
            </w:r>
          </w:p>
        </w:tc>
      </w:tr>
    </w:tbl>
    <w:p/>
    <w:p>
      <w:r>
        <w:br w:type="page"/>
      </w:r>
    </w:p>
    <w:p>
      <w:pPr>
        <w:pStyle w:val="Heading1"/>
      </w:pPr>
      <w:r>
        <w:t>Dilekçe metni</w:t>
      </w:r>
    </w:p>
    <w:p>
      <w:pPr>
        <w:jc w:val="center"/>
      </w:pPr>
      <w:r>
        <w:rPr>
          <w:b/>
        </w:rPr>
        <w:t>NOTU İLAN EDEN FAKÜLTE DEKANLIĞI, YÜKSEKOKUL VEYA ENSTİTÜ MÜDÜRLÜĞÜ</w:t>
      </w:r>
    </w:p>
    <w:p>
      <w:r/>
    </w:p>
    <w:p>
      <w:r>
        <w:t>BAŞVURAN / TALEPTE BULUNAN : [Ad soyad veya unvan, T.C./vergi no]</w:t>
      </w:r>
    </w:p>
    <w:p>
      <w:r>
        <w:t>ADRES : [Tebligata elverişli açık adres]</w:t>
      </w:r>
    </w:p>
    <w:p>
      <w:r>
        <w:t>VEKİLİ : [Varsa avukat adı, baro sicil no ve adres]</w:t>
      </w:r>
    </w:p>
    <w:p>
      <w:r>
        <w:t>İLGİLİ / KARŞI TARAF : [Varsa adı, unvanı ve adresi]</w:t>
      </w:r>
    </w:p>
    <w:p>
      <w:r>
        <w:t>DOSYA / BAŞVURU NO : [Varsa]</w:t>
      </w:r>
    </w:p>
    <w:p>
      <w:r/>
    </w:p>
    <w:p>
      <w:r>
        <w:t>KONU : üniversite ders notundaki maddi hataya itiraz dilekçesi kapsamında, aşağıda açıklanan somut olay ve ekli belgelere dayanılarak sınav evrakının maddi hata yönünden yeniden incelenmesi istemidir.</w:t>
      </w:r>
    </w:p>
    <w:p>
      <w:r/>
    </w:p>
    <w:p>
      <w:pPr>
        <w:jc w:val="center"/>
      </w:pPr>
      <w:r>
        <w:rPr>
          <w:b/>
        </w:rPr>
        <w:t>AÇIKLAMALAR</w:t>
      </w:r>
    </w:p>
    <w:p>
      <w:r/>
    </w:p>
    <w:p>
      <w:r>
        <w:t>1. Başvurucunun sıfatı ve olayın başlangıcı</w:t>
      </w:r>
    </w:p>
    <w:p>
      <w:r>
        <w:t>Başvurucu [sıfatı ve hukuki ilişkisi] olup uyuşmazlığa konu işlem [tarih] tarihinde gerçekleşmiştir. Başvurucunun bu istemi yöneltmekte güncel, kişisel ve meşru menfaati bulunmaktadır. Kimlik, yetki ve varsa temsil belgeleri ekler arasındadır.</w:t>
      </w:r>
    </w:p>
    <w:p>
      <w:r/>
    </w:p>
    <w:p>
      <w:r>
        <w:t>2. Olayların kronolojik özeti</w:t>
      </w:r>
    </w:p>
    <w:p>
      <w:r>
        <w:t>[Birinci olay ve tarih]. Ardından [ikinci olay ve tarih] gerçekleşmiş; [bildirim/karar/işlem] [tebliğ veya öğrenme tarihi] tarihinde başvurucuya ulaşmıştır. Başvurucu [önceki başvuru] ile çözüm istemiş, ancak [cevap veya sonuç] nedeniyle bu dilekçeyi sunma zorunluluğu doğmuştur.</w:t>
      </w:r>
    </w:p>
    <w:p>
      <w:r/>
    </w:p>
    <w:p>
      <w:r>
        <w:t>3. Somut koşulun gerçekleşmesi</w:t>
      </w:r>
    </w:p>
    <w:p>
      <w:r>
        <w:t>İlan edilen not ile sınav kâğıdı, cevap anahtarı, başarı hesabı veya öğrenci bilgi sistemi kaydı arasında somut bir maddi hata bulunmaktadır. Bu sonuç Ek-[numara] belgesi ile doğrulanmaktadır. Belgenin tarihi, düzenleyeni ve olaya bağlantısı aşağıdaki delil listesinde ayrıca gösterilmiştir.</w:t>
      </w:r>
    </w:p>
    <w:p>
      <w:r/>
    </w:p>
    <w:p>
      <w:r>
        <w:t>4. Hukuki değerlendirme</w:t>
      </w:r>
    </w:p>
    <w:p>
      <w:r>
        <w:t>2547 sayılı Kanun 44 üncü madde ölçme, değerlendirme, sınav ve başarı esaslarının yükseköğretim kurumlarının senatolarınca çıkarılan yönetmeliklerle düzenlenmesini öngörür. İtiraz yeniden akademik takdir talebi değil; toplama, veri girişi, cevap anahtarı uygulaması veya ilan hatasının somut olarak denetlenmesi istemidir. Somut olayda [belge ve olgu] bu hükmün aradığı koşulu karşılamaktadır. Karşılaştırma, varsayıma değil dilekçe ekindeki tarihli kayıtlara dayanmaktadır.</w:t>
      </w:r>
    </w:p>
    <w:p>
      <w:r/>
    </w:p>
    <w:p>
      <w:r>
        <w:t>5. Süre ve yetki</w:t>
      </w:r>
    </w:p>
    <w:p>
      <w:r>
        <w:t>2547 sayılı Kanun 44 üncü madde ülke çapında tek bir not itiraz süresi koymaz. Öğrencinin bağlı olduğu üniversitenin eğitim-öğretim ve sınav yönetmeliğinde ilan edilen süre, notun öğrenci bilgi sisteminde duyurulduğu tarihi izleyen günden itibaren uygulanır; yönetmelikte süre yoksa başvuru gecikmeksizin yapılır ve olası iptal davası için İYUK 7'deki altmış günlük süre korunur. Başvuru Notu ilan eden fakülte dekanlığı, yüksekokul veya enstitü müdürlüğü nezdinde yapılmaktadır. Tebliğ/öğrenme belgesi Ek-[numara] olarak sunulduğundan sürenin başlangıcı denetlenebilir durumdadır.</w:t>
      </w:r>
    </w:p>
    <w:p>
      <w:r/>
    </w:p>
    <w:p>
      <w:r>
        <w:t>6. Talebin kapsamı</w:t>
      </w:r>
    </w:p>
    <w:p>
      <w:r>
        <w:t>Başvuru yalnızca yukarıda açıklanan işlem ve dönemle sınırlıdır. Talep sonucunun infaz edilebilir ve tereddütsüz olması için işlem, tarih, tutar, dosya veya kayıt numarası somut belgelerdeki biçimiyle yazılmıştır.</w:t>
      </w:r>
    </w:p>
    <w:p>
      <w:r/>
    </w:p>
    <w:p>
      <w:r>
        <w:rPr>
          <w:b/>
        </w:rPr>
        <w:t>HUKUKİ NEDENLER : 2547 sayılı Kanun 44 üncü madde ölçme, değerlendirme, sınav ve başarı esaslarının yükseköğretim kurumlarının senatolarınca çıkarılan yönetmeliklerle düzenlenmesini öngörür ve ilgili ikincil mevzuat.</w:t>
      </w:r>
    </w:p>
    <w:p>
      <w:r/>
    </w:p>
    <w:p>
      <w:pPr>
        <w:jc w:val="center"/>
      </w:pPr>
      <w:r>
        <w:rPr>
          <w:b/>
        </w:rPr>
        <w:t>DELİLLER</w:t>
      </w:r>
    </w:p>
    <w:p>
      <w:r>
        <w:t>1. Not ilanı veya öğrenci bilgi sistemi ekranı</w:t>
      </w:r>
    </w:p>
    <w:p>
      <w:r>
        <w:t>2. Sınav kâğıdı ya da erişilebilen cevap örneği</w:t>
      </w:r>
    </w:p>
    <w:p>
      <w:r>
        <w:t>3. Ders bilgi paketi ve değerlendirme ölçütü</w:t>
      </w:r>
    </w:p>
    <w:p>
      <w:r>
        <w:t>4. Hesaplama hatasını gösteren tablo</w:t>
      </w:r>
    </w:p>
    <w:p>
      <w:r>
        <w:t>5. Kurum ve dosya kayıtları ile gerektiğinde bilirkişi/uzman incelemesi</w:t>
      </w:r>
    </w:p>
    <w:p>
      <w:r>
        <w:t>6. Her türlü yasal delil</w:t>
      </w:r>
    </w:p>
    <w:p>
      <w:r/>
    </w:p>
    <w:p>
      <w:pPr>
        <w:jc w:val="center"/>
      </w:pPr>
      <w:r>
        <w:rPr>
          <w:b/>
        </w:rPr>
        <w:t>SONUÇ VE İSTEM</w:t>
      </w:r>
    </w:p>
    <w:p>
      <w:r>
        <w:t>Yukarıda açıklanan nedenlerle;</w:t>
      </w:r>
    </w:p>
    <w:p>
      <w:r>
        <w:t>1. Sınav evrakının maddi hata yönünden yeniden incelenmesi,</w:t>
      </w:r>
    </w:p>
    <w:p>
      <w:r>
        <w:t>2. Doğru puanın ve başarı notunun öğrenci sistemine işlenmesi,</w:t>
      </w:r>
    </w:p>
    <w:p>
      <w:r>
        <w:t>3. İnceleme sonucunun gerekçeli olarak bildirilmesi,</w:t>
      </w:r>
    </w:p>
    <w:p>
      <w:r>
        <w:t>4. Başvuru sonucunun yukarıdaki tebligat adresine yazılı olarak bildirilmesini,</w:t>
      </w:r>
    </w:p>
    <w:p>
      <w:r>
        <w:t>saygıyla arz ve talep ederim. [Tarih]</w:t>
      </w:r>
    </w:p>
    <w:p>
      <w:r/>
    </w:p>
    <w:p>
      <w:r>
        <w:t>Başvuran / Vekili</w:t>
      </w:r>
    </w:p>
    <w:p>
      <w:r>
        <w:t>[Ad soyad]</w:t>
      </w:r>
    </w:p>
    <w:p>
      <w:r>
        <w:t>[İmza]</w:t>
      </w:r>
    </w:p>
    <w:p>
      <w:r/>
    </w:p>
    <w:p>
      <w:pPr>
        <w:jc w:val="center"/>
      </w:pPr>
      <w:r>
        <w:rPr>
          <w:b/>
        </w:rPr>
        <w:t>EKLER</w:t>
      </w:r>
    </w:p>
    <w:p>
      <w:r>
        <w:t>1. Kimlik veya yetki belgesi</w:t>
      </w:r>
    </w:p>
    <w:p>
      <w:r>
        <w:t>2. Süreyi gösteren tebliğ/öğrenme belgesi</w:t>
      </w:r>
    </w:p>
    <w:p>
      <w:r>
        <w:t>3. Olay kronolojisi ve dayanak kayıtlar</w:t>
      </w:r>
    </w:p>
    <w:p>
      <w:r>
        <w:t>4. Yukarıda numaralanan diğer belgeler</w:t>
      </w:r>
    </w:p>
    <w:p>
      <w:r/>
    </w:p>
    <w:p>
      <w:pPr>
        <w:pStyle w:val="Heading1"/>
      </w:pPr>
      <w:r>
        <w:t>Belge ve teslim kontrolü</w:t>
      </w:r>
    </w:p>
    <w:p>
      <w:r>
        <w:t>☐ Yetkili makamın tam unvanı yazıldı.</w:t>
      </w:r>
    </w:p>
    <w:p>
      <w:r>
        <w:t>☐ Tebliğ veya öğrenme tarihi belgeye bağlandı.</w:t>
      </w:r>
    </w:p>
    <w:p>
      <w:r>
        <w:t>☐ Olaylar kronolojik sırada ve ek numaralarıyla açıklandı.</w:t>
      </w:r>
    </w:p>
    <w:p>
      <w:r>
        <w:t>☐ Her talebin açıklamalar bölümünde hukuki ve maddi dayanağı var.</w:t>
      </w:r>
    </w:p>
    <w:p>
      <w:r>
        <w:t>☐ Ek listesiyle yüklenen dosya sırası aynı.</w:t>
      </w:r>
    </w:p>
    <w:p>
      <w:r>
        <w:t>☐ Dilekçe tarihli ve imzalı.</w:t>
      </w:r>
    </w:p>
    <w:p>
      <w:r>
        <w:t>☐ Teslim alındısı veya elektronik başvuru çıktısı saklanacak.</w:t>
      </w:r>
    </w:p>
    <w:p>
      <w:pPr>
        <w:pStyle w:val="Heading1"/>
      </w:pPr>
      <w:r>
        <w:t>Resmî kaynaklar</w:t>
      </w:r>
    </w:p>
    <w:p>
      <w:r>
        <w:t>https://www.mevzuat.gov.tr/mevzuatmetin/1.5.2547.pdf</w:t>
      </w:r>
    </w:p>
    <w:p>
      <w:r>
        <w:t>https://www.yok.gov.tr/</w:t>
      </w:r>
    </w:p>
    <w:p>
      <w:r>
        <w:t>Genel bilgilendirme notu: Bu örnek, somut olayın özelliklerine göre uyarlanmalıdır. Özellikle süre, görev, yetki ve talep sonucu güncel mevzuat ile tebligat belgesi üzerinden kontrol edilmelidir.</w:t>
      </w:r>
    </w:p>
    <w:sectPr w:rsidR="00FC693F" w:rsidRPr="0006063C" w:rsidSect="00034616">
      <w:footerReference w:type="default" r:id="rId9"/>
      <w:pgSz w:w="12240" w:h="15840"/>
      <w:pgMar w:top="1247" w:right="1247" w:bottom="1134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halilbakirci.av.tr  |  Örnek dilekçe  |  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76" w:lineRule="auto"/>
    </w:pPr>
    <w:rPr>
      <w:rFonts w:ascii="Aptos" w:hAnsi="Aptos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80" w:line="240" w:lineRule="auto"/>
      <w:contextualSpacing/>
    </w:pPr>
    <w:rPr>
      <w:rFonts w:asciiTheme="majorHAnsi" w:eastAsiaTheme="majorEastAsia" w:hAnsiTheme="majorHAnsi" w:cstheme="majorBidi" w:ascii="Aptos Display" w:hAnsi="Aptos Display"/>
      <w:b/>
      <w:color w:val="000000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Üniversite Ders Notundaki Maddi Hataya İtiraz Dilekçesi</dc:title>
  <dc:subject>2547 sayılı Kanun m.44 ve kurum sınav yönetmeliği kapsamında örnek dilekçe</dc:subject>
  <dc:creator>Bakırcı &amp; Keskin Hukuk Bürosu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