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Akademik Kadro İlanındaki Özel Şartın İptali Dava Dilekçesi</w:t>
      </w:r>
    </w:p>
    <w:p>
      <w:pPr>
        <w:jc w:val="center"/>
      </w:pPr>
      <w:r>
        <w:rPr>
          <w:i/>
        </w:rPr>
        <w:t>2547 sayılı Kanun ve İYUK m.7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İlanı yayımlayan üniversiteye karşı görevli idare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Akademik kadro ilanı bireysel ve kesin işlem niteliğindeyse İYUK 7 uyarınca yazılı bildirim veya hukuken öğrenme tarihini izleyen günden itibaren altmış gün içinde iptal davası açılır. İYUK 11 başvurusu bu süre içinde yapılırsa kalan dava süresi, cevap veya zımni ret sonrasında yeniden işlemeye devam eder.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2547 sayılı Kanun ve İYUK m.7</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özel şart ile buna dayalı ilan işleminin iptali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İLANI YAYIMLAYAN ÜNİVERSİTEYE KARŞI GÖREVLİ İDARE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akademik kadro ilanındaki özel şartın iptali dava dilekçesi kapsamında, aşağıda açıklanan somut olay ve ekli belgelere dayanılarak özel şart ile buna dayalı ilan işleminin iptali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İlandaki özel şart kadronun bilimsel ihtiyacıyla nesnel ve ölçülü biçimde açıklanamamakta, rekabeti kişi lehine daraltmakta veya üst düzenlemelerde bulunmayan ek engel yaratmaktadır. Bu sonuç Ek-[numara] belgesi ile doğrulanmaktadır. Belgenin tarihi, düzenleyeni ve olaya bağlantısı aşağıdaki delil listesinde ayrıca gösterilmiştir.</w:t>
      </w:r>
    </w:p>
    <w:p>
      <w:r/>
    </w:p>
    <w:p>
      <w:r>
        <w:t>4. Hukuki değerlendirme</w:t>
      </w:r>
    </w:p>
    <w:p>
      <w:r>
        <w:t>2547 sayılı Kanun ve ilgili atama yönetmelikleri kadro ilanı koşullarının bilim alanı ve kadronun objektif gereklilikleriyle bağlantılı olmasını gerektirir. Belirli kişiyi tarif eden, temel ve objektif koşulları aşan özel şart eşitlik, liyakat, kamu yararı ve hizmet gerekleri yönünden yargısal denetime tabidir. Somut olayda [belge ve olgu] bu hükmün aradığı koşulu karşılamaktadır. Karşılaştırma, varsayıma değil dilekçe ekindeki tarihli kayıtlara dayanmaktadır.</w:t>
      </w:r>
    </w:p>
    <w:p>
      <w:r/>
    </w:p>
    <w:p>
      <w:r>
        <w:t>5. Süre ve yetki</w:t>
      </w:r>
    </w:p>
    <w:p>
      <w:r>
        <w:t>Akademik kadro ilanı bireysel ve kesin işlem niteliğindeyse İYUK 7 uyarınca yazılı bildirim veya hukuken öğrenme tarihini izleyen günden itibaren altmış gün içinde iptal davası açılır. İYUK 11 başvurusu bu süre içinde yapılırsa kalan dava süresi, cevap veya zımni ret sonrasında yeniden işlemeye devam eder. Başvuru İlanı yayımlayan üniversiteye karşı görevli idare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2547 sayılı Kanun ve ilgili atama yönetmelikleri kadro ilanı koşullarının bilim alanı ve kadronun objektif gereklilikleriyle bağlantılı olmasını gerektirir ve ilgili ikincil mevzuat.</w:t>
      </w:r>
    </w:p>
    <w:p>
      <w:r/>
    </w:p>
    <w:p>
      <w:pPr>
        <w:jc w:val="center"/>
      </w:pPr>
      <w:r>
        <w:rPr>
          <w:b/>
        </w:rPr>
        <w:t>DELİLLER</w:t>
      </w:r>
    </w:p>
    <w:p>
      <w:r>
        <w:t>1. Resmî Gazete ve üniversite ilanı</w:t>
      </w:r>
    </w:p>
    <w:p>
      <w:r>
        <w:t>2. Kadro ve anabilim dalı bilgileri</w:t>
      </w:r>
    </w:p>
    <w:p>
      <w:r>
        <w:t>3. Başvurucunun özgeçmiş ve yeterlik belgeleri</w:t>
      </w:r>
    </w:p>
    <w:p>
      <w:r>
        <w:t>4. Emsal ilan ve akademik kurul kayıtları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Özel şart ile buna dayalı ilan işleminin iptali,</w:t>
      </w:r>
    </w:p>
    <w:p>
      <w:r>
        <w:t>2. Atama süreci tamamlanmadıysa yürütmenin durdurulması,</w:t>
      </w:r>
    </w:p>
    <w:p>
      <w:r>
        <w:t>3. Yargılama giderleri ve vekâlet ücretinin davalıya yükletilmesi,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https://www.mevzuat.gov.tr/mevzuatmetin/1.5.2547.pdf</w:t>
      </w:r>
    </w:p>
    <w:p>
      <w:r>
        <w:t>https://www.yok.gov.tr/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Akademik Kadro İlanındaki Özel Şartın İptali Dava Dilekçesi</dc:title>
  <dc:subject>2547 sayılı Kanun ve İYUK m.7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