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E3BD58"/>
          <w:sz w:val="21"/>
        </w:rPr>
        <w:t>092</w:t>
      </w:r>
    </w:p>
    <w:p>
      <w:pPr>
        <w:pStyle w:val="Title"/>
        <w:jc w:val="center"/>
      </w:pPr>
      <w:r>
        <w:t>6183 Sayılı Kanun Ödeme Emrine Karşı Dava Dilekçesi Örneği</w:t>
      </w:r>
    </w:p>
    <w:p>
      <w:pPr>
        <w:jc w:val="center"/>
      </w:pPr>
      <w:r>
        <w:rPr>
          <w:i/>
          <w:color w:val="475569"/>
        </w:rPr>
        <w:t>İdare ve Vergi Hukuku • Güncel mevzuat kontrolü: 2 Eylül 2026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268"/>
        <w:gridCol w:w="7313"/>
      </w:tblGrid>
      <w:tr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0F172A"/>
            <w:vAlign w:val="center"/>
          </w:tcPr>
          <w:p>
            <w:r>
              <w:rPr>
                <w:b/>
                <w:color w:val="FFFFFF"/>
                <w:sz w:val="17"/>
              </w:rPr>
              <w:t>Görevli / yetkili merci</w:t>
            </w:r>
          </w:p>
        </w:tc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F8FAFC"/>
            <w:vAlign w:val="center"/>
          </w:tcPr>
          <w:p>
            <w:r>
              <w:rPr>
                <w:sz w:val="17"/>
              </w:rPr>
              <w:t>Amme alacağının türüne göre yetkili vergi veya idare mahkemesi</w:t>
            </w:r>
          </w:p>
        </w:tc>
      </w:tr>
      <w:tr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1E3A8A"/>
            <w:vAlign w:val="center"/>
          </w:tcPr>
          <w:p>
            <w:r>
              <w:rPr>
                <w:b/>
                <w:color w:val="FFFFFF"/>
                <w:sz w:val="17"/>
              </w:rPr>
              <w:t>Kanuni süre</w:t>
            </w:r>
          </w:p>
        </w:tc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F8FAFC"/>
            <w:vAlign w:val="center"/>
          </w:tcPr>
          <w:p>
            <w:r>
              <w:rPr>
                <w:sz w:val="17"/>
              </w:rPr>
              <w:t>Ödeme emrinin tebliğinden itibaren on beş gündür.</w:t>
            </w:r>
          </w:p>
        </w:tc>
      </w:tr>
      <w:tr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0F172A"/>
            <w:vAlign w:val="center"/>
          </w:tcPr>
          <w:p>
            <w:r>
              <w:rPr>
                <w:b/>
                <w:color w:val="FFFFFF"/>
                <w:sz w:val="17"/>
              </w:rPr>
              <w:t>Ön koşul</w:t>
            </w:r>
          </w:p>
        </w:tc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F8FAFC"/>
            <w:vAlign w:val="center"/>
          </w:tcPr>
          <w:p>
            <w:r>
              <w:rPr>
                <w:sz w:val="17"/>
              </w:rPr>
              <w:t>Ödeme emrindeki her kamu alacağı kalemi ve dava nedeni tabloyla ayrı ayrı gösterilmelidir.</w:t>
            </w:r>
          </w:p>
        </w:tc>
      </w:tr>
      <w:tr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1E3A8A"/>
            <w:vAlign w:val="center"/>
          </w:tcPr>
          <w:p>
            <w:r>
              <w:rPr>
                <w:b/>
                <w:color w:val="FFFFFF"/>
                <w:sz w:val="17"/>
              </w:rPr>
              <w:t>Temel dayanak</w:t>
            </w:r>
          </w:p>
        </w:tc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F8FAFC"/>
            <w:vAlign w:val="center"/>
          </w:tcPr>
          <w:p>
            <w:r>
              <w:rPr>
                <w:sz w:val="17"/>
              </w:rPr>
              <w:t>6183 sayılı Kanun m. 55 ve 58</w:t>
            </w:r>
          </w:p>
        </w:tc>
      </w:tr>
    </w:tbl>
    <w:p>
      <w:pPr>
        <w:spacing w:before="180" w:after="140"/>
        <w:shd w:fill="FFF8E7"/>
      </w:pPr>
      <w:r>
        <w:rPr>
          <w:b/>
          <w:color w:val="1E3A8A"/>
        </w:rPr>
        <w:t xml:space="preserve">Net hukuk kuralı: </w:t>
      </w:r>
      <w:r>
        <w:t>Dava nedenleri borcun bulunmaması, kısmen ödenmiş olması veya zamanaşımına uğramasıyla sınırlıdır; her alacak kalemi ayrı gösterilmelidir.</w:t>
      </w:r>
    </w:p>
    <w:p>
      <w:pPr>
        <w:pStyle w:val="Heading1"/>
      </w:pPr>
      <w:r>
        <w:t>ÖNEMLİ KULLANIM NOTU</w:t>
      </w:r>
    </w:p>
    <w:p>
      <w:r>
        <w:t>Bu belge genel bir Word şablonudur. Köşeli parantezli alanlar gerçek bilgilerle doldurulmalı; görev, yetki, süre, taraf sıfatı, harç ve talep sonucu imzadan önce somut dosyaya göre kontrol edilmelidir.</w:t>
      </w:r>
    </w:p>
    <w:p>
      <w:r>
        <w:br w:type="page"/>
      </w:r>
    </w:p>
    <w:p>
      <w:pPr>
        <w:pStyle w:val="Heading1"/>
        <w:jc w:val="center"/>
      </w:pPr>
      <w:r>
        <w:t>AMME ALACAĞININ TÜRÜNE GÖRE YETKILI VERGI VEYA IDARE MAHKEMESI'NA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09"/>
        <w:gridCol w:w="7172"/>
      </w:tblGrid>
      <w:tr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EEF4FF"/>
          </w:tcPr>
          <w:p>
            <w:r>
              <w:rPr>
                <w:b/>
                <w:color w:val="1E3A8A"/>
              </w:rPr>
              <w:t>BAŞVURAN / DAVACI</w:t>
            </w:r>
          </w:p>
        </w:tc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t>[AD SOYAD / T.C. KİMLİK NO / ADRES]</w:t>
            </w:r>
          </w:p>
        </w:tc>
      </w:tr>
      <w:tr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EEF4FF"/>
          </w:tcPr>
          <w:p>
            <w:r>
              <w:rPr>
                <w:b/>
                <w:color w:val="1E3A8A"/>
              </w:rPr>
              <w:t>VEKİLİ</w:t>
            </w:r>
          </w:p>
        </w:tc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t>[VARSA AVUKAT ADI VE ADRESİ]</w:t>
            </w:r>
          </w:p>
        </w:tc>
      </w:tr>
      <w:tr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EEF4FF"/>
          </w:tcPr>
          <w:p>
            <w:r>
              <w:rPr>
                <w:b/>
                <w:color w:val="1E3A8A"/>
              </w:rPr>
              <w:t>KARŞI TARAF / DAVALI</w:t>
            </w:r>
          </w:p>
        </w:tc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t>[AD SOYAD / UNVAN / ADRES]</w:t>
            </w:r>
          </w:p>
        </w:tc>
      </w:tr>
      <w:tr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EEF4FF"/>
          </w:tcPr>
          <w:p>
            <w:r>
              <w:rPr>
                <w:b/>
                <w:color w:val="1E3A8A"/>
              </w:rPr>
              <w:t>DOSYA / BAŞVURU NO</w:t>
            </w:r>
          </w:p>
        </w:tc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t>[ESAS, İCRA, HASAR VEYA KURUM NUMARASI]</w:t>
            </w:r>
          </w:p>
        </w:tc>
      </w:tr>
      <w:tr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EEF4FF"/>
          </w:tcPr>
          <w:p>
            <w:r>
              <w:rPr>
                <w:b/>
                <w:color w:val="1E3A8A"/>
              </w:rPr>
              <w:t>KONU</w:t>
            </w:r>
          </w:p>
        </w:tc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t>Ödeme emrinin iptali.</w:t>
            </w:r>
          </w:p>
        </w:tc>
      </w:tr>
    </w:tbl>
    <w:p>
      <w:pPr>
        <w:pStyle w:val="Heading1"/>
      </w:pPr>
      <w:r>
        <w:t>AÇIKLAMALAR</w:t>
      </w:r>
    </w:p>
    <w:p>
      <w:r>
        <w:t>1. Başvuruya konu işlem veya olay [TARİH] tarihinde öğrenilmiş/tebliğ edilmiştir. Süre hesabı şu kurala dayanır: Ödeme emrinin tebliğinden itibaren on beş gündür.</w:t>
      </w:r>
    </w:p>
    <w:p>
      <w:r>
        <w:t>2. Ödeme emri ve tebliğ: [SOMUT OLAYI TARİH, YER, KİŞİ VE BELGEYLE UYUMLU OLARAK AÇIKLAYIN].</w:t>
      </w:r>
    </w:p>
    <w:p>
      <w:r>
        <w:t>3. Kamu alacağının türü: [SOMUT OLAYI TARİH, YER, KİŞİ VE BELGEYLE UYUMLU OLARAK AÇIKLAYIN].</w:t>
      </w:r>
    </w:p>
    <w:p>
      <w:r>
        <w:t>4. Borcun bulunmaması: [SOMUT OLAYI TARİH, YER, KİŞİ VE BELGEYLE UYUMLU OLARAK AÇIKLAYIN].</w:t>
      </w:r>
    </w:p>
    <w:p>
      <w:r>
        <w:t>5. Kısmi ödeme: [SOMUT OLAYI TARİH, YER, KİŞİ VE BELGEYLE UYUMLU OLARAK AÇIKLAYIN].</w:t>
      </w:r>
    </w:p>
    <w:p>
      <w:r>
        <w:t>6. Zamanaşımı hesabı: [SOMUT OLAYI TARİH, YER, KİŞİ VE BELGEYLE UYUMLU OLARAK AÇIKLAYIN].</w:t>
      </w:r>
    </w:p>
    <w:p>
      <w:r>
        <w:t>7. Temel hukuki sonuç: Dava nedenleri borcun bulunmaması, kısmen ödenmiş olması veya zamanaşımına uğramasıyla sınırlıdır; her alacak kalemi ayrı gösterilmelidir.</w:t>
      </w:r>
    </w:p>
    <w:p>
      <w:r>
        <w:t>8. Başvuru öncesi kontrol: Ödeme emrindeki her kamu alacağı kalemi ve dava nedeni tabloyla ayrı ayrı gösterilmelidir.</w:t>
      </w:r>
    </w:p>
    <w:p>
      <w:pPr>
        <w:pStyle w:val="Heading1"/>
      </w:pPr>
      <w:r>
        <w:t>HUKUKİ NEDENLER</w:t>
      </w:r>
    </w:p>
    <w:p>
      <w:r>
        <w:t>6183 sayılı Kanun m. 55 ve 58 ve ilgili sair mevzuat.</w:t>
      </w:r>
    </w:p>
    <w:p>
      <w:r>
        <w:br w:type="page"/>
      </w:r>
    </w:p>
    <w:p>
      <w:pPr>
        <w:pStyle w:val="Heading1"/>
      </w:pPr>
      <w:r>
        <w:t>DELİLLER</w:t>
      </w:r>
    </w:p>
    <w:p>
      <w:pPr>
        <w:pStyle w:val="ListBullet"/>
        <w:spacing w:after="60"/>
      </w:pPr>
      <w:r>
        <w:t>Ödeme emri [EK NUMARASI / TARİH]</w:t>
      </w:r>
    </w:p>
    <w:p>
      <w:pPr>
        <w:pStyle w:val="ListBullet"/>
        <w:spacing w:after="60"/>
      </w:pPr>
      <w:r>
        <w:t>Tebligat belgesi [EK NUMARASI / TARİH]</w:t>
      </w:r>
    </w:p>
    <w:p>
      <w:pPr>
        <w:pStyle w:val="ListBullet"/>
        <w:spacing w:after="60"/>
      </w:pPr>
      <w:r>
        <w:t>Vergi ve tahakkuk kayıtları [EK NUMARASI / TARİH]</w:t>
      </w:r>
    </w:p>
    <w:p>
      <w:pPr>
        <w:pStyle w:val="ListBullet"/>
        <w:spacing w:after="60"/>
      </w:pPr>
      <w:r>
        <w:t>Ödeme makbuzları [EK NUMARASI / TARİH]</w:t>
      </w:r>
    </w:p>
    <w:p>
      <w:pPr>
        <w:pStyle w:val="ListBullet"/>
        <w:spacing w:after="60"/>
      </w:pPr>
      <w:r>
        <w:t>Uzlaşma veya düzeltme belgeleri [EK NUMARASI / TARİH]</w:t>
      </w:r>
    </w:p>
    <w:p>
      <w:pPr>
        <w:pStyle w:val="ListBullet"/>
        <w:spacing w:after="60"/>
      </w:pPr>
      <w:r>
        <w:t>UYAP, kurum ve sicil kayıtları ile hukuka uygun diğer deliller</w:t>
      </w:r>
    </w:p>
    <w:p>
      <w:pPr>
        <w:pStyle w:val="Heading1"/>
      </w:pPr>
      <w:r>
        <w:t>SONUÇ VE İSTEM</w:t>
      </w:r>
    </w:p>
    <w:p>
      <w:r>
        <w:t>Yukarıda açıklanan nedenlerle;</w:t>
      </w:r>
    </w:p>
    <w:p>
      <w:r>
        <w:t>1. Ödeme emrinin iptali,</w:t>
      </w:r>
    </w:p>
    <w:p>
      <w:r>
        <w:t>2. Koşulları varsa yürütmenin durdurulması,</w:t>
      </w:r>
    </w:p>
    <w:p>
      <w:r>
        <w:t>3. Yargılama giderleri,</w:t>
      </w:r>
    </w:p>
    <w:p>
      <w:r>
        <w:t>4. Yargılama veya başvuru giderleri ile varsa vekâlet ücretinin hukuki durumuna göre karara bağlanmasına karar verilmesini saygıyla arz ve talep ederim. [TARİH]</w:t>
      </w:r>
    </w:p>
    <w:p>
      <w:pPr>
        <w:jc w:val="right"/>
      </w:pPr>
      <w:r>
        <w:rPr>
          <w:b/>
        </w:rPr>
        <w:t>Başvuran / Davacı</w:t>
        <w:br/>
        <w:t>[AD SOYAD]</w:t>
        <w:br/>
        <w:t>[İMZA]</w:t>
      </w:r>
    </w:p>
    <w:p>
      <w:pPr>
        <w:pStyle w:val="Heading1"/>
      </w:pPr>
      <w:r>
        <w:t>EKLER</w:t>
      </w:r>
    </w:p>
    <w:p>
      <w:r>
        <w:t>1. Ödeme emri</w:t>
      </w:r>
    </w:p>
    <w:p>
      <w:r>
        <w:t>2. Tebligat belgesi</w:t>
      </w:r>
    </w:p>
    <w:p>
      <w:r>
        <w:t>3. Vergi ve tahakkuk kayıtları</w:t>
      </w:r>
    </w:p>
    <w:p>
      <w:r>
        <w:t>4. Ödeme makbuzları</w:t>
      </w:r>
    </w:p>
    <w:p>
      <w:r>
        <w:t>5. Uzlaşma veya düzeltme belgeleri</w:t>
      </w:r>
    </w:p>
    <w:p>
      <w:r>
        <w:br w:type="page"/>
      </w:r>
    </w:p>
    <w:p>
      <w:pPr>
        <w:pStyle w:val="Title"/>
      </w:pPr>
      <w:r>
        <w:t>ŞABLONU DOSYAYA UYARLAMA VE SON KONTROL</w:t>
      </w:r>
    </w:p>
    <w:p>
      <w:pPr>
        <w:pStyle w:val="Heading1"/>
      </w:pPr>
      <w:r>
        <w:t>Süre Kontrolü</w:t>
      </w:r>
    </w:p>
    <w:p>
      <w:r>
        <w:t>Ödeme emrinin tebliğinden itibaren on beş gündür.</w:t>
      </w:r>
    </w:p>
    <w:p>
      <w:pPr>
        <w:pStyle w:val="Heading1"/>
      </w:pPr>
      <w:r>
        <w:t>Görev ve Yetki Kontrolü</w:t>
      </w:r>
    </w:p>
    <w:p>
      <w:r>
        <w:t>Amme alacağının türüne göre yetkili vergi veya idare mahkemesi</w:t>
      </w:r>
    </w:p>
    <w:p>
      <w:pPr>
        <w:pStyle w:val="Heading1"/>
      </w:pPr>
      <w:r>
        <w:t>İspat Planı</w:t>
      </w:r>
    </w:p>
    <w:p>
      <w:pPr>
        <w:pStyle w:val="ListBullet"/>
        <w:spacing w:after="60"/>
      </w:pPr>
      <w:r>
        <w:t>Ödeme emri ve tebliğ → Ödeme emri</w:t>
      </w:r>
    </w:p>
    <w:p>
      <w:pPr>
        <w:pStyle w:val="ListBullet"/>
        <w:spacing w:after="60"/>
      </w:pPr>
      <w:r>
        <w:t>Kamu alacağının türü → Tebligat belgesi</w:t>
      </w:r>
    </w:p>
    <w:p>
      <w:pPr>
        <w:pStyle w:val="ListBullet"/>
        <w:spacing w:after="60"/>
      </w:pPr>
      <w:r>
        <w:t>Borcun bulunmaması → Vergi ve tahakkuk kayıtları</w:t>
      </w:r>
    </w:p>
    <w:p>
      <w:pPr>
        <w:pStyle w:val="ListBullet"/>
        <w:spacing w:after="60"/>
      </w:pPr>
      <w:r>
        <w:t>Kısmi ödeme → Ödeme makbuzları</w:t>
      </w:r>
    </w:p>
    <w:p>
      <w:pPr>
        <w:pStyle w:val="ListBullet"/>
        <w:spacing w:after="60"/>
      </w:pPr>
      <w:r>
        <w:t>Zamanaşımı hesabı → Uzlaşma veya düzeltme belgeleri</w:t>
      </w:r>
    </w:p>
    <w:p>
      <w:pPr>
        <w:pStyle w:val="Heading1"/>
      </w:pPr>
      <w:r>
        <w:t>İmzadan Önce Kontrol Listesi</w:t>
      </w:r>
    </w:p>
    <w:p>
      <w:pPr>
        <w:pStyle w:val="ListBullet"/>
        <w:spacing w:after="60"/>
      </w:pPr>
      <w:r>
        <w:t>☐ Tebliğ/öğrenme tarihi ve son gün hesaplandı.</w:t>
      </w:r>
    </w:p>
    <w:p>
      <w:pPr>
        <w:pStyle w:val="ListBullet"/>
        <w:spacing w:after="60"/>
      </w:pPr>
      <w:r>
        <w:t>☐ Görevli ve yetkili merci doğrulandı.</w:t>
      </w:r>
    </w:p>
    <w:p>
      <w:pPr>
        <w:pStyle w:val="ListBullet"/>
        <w:spacing w:after="60"/>
      </w:pPr>
      <w:r>
        <w:t>☐ Taraf adları, kimlik/vergi numaraları ve adresler kontrol edildi.</w:t>
      </w:r>
    </w:p>
    <w:p>
      <w:pPr>
        <w:pStyle w:val="ListBullet"/>
        <w:spacing w:after="60"/>
      </w:pPr>
      <w:r>
        <w:t>☐ Her vakıa ilgili delille eşleştirildi.</w:t>
      </w:r>
    </w:p>
    <w:p>
      <w:pPr>
        <w:pStyle w:val="ListBullet"/>
        <w:spacing w:after="60"/>
      </w:pPr>
      <w:r>
        <w:t>☐ Talep sonucu açık, numaralı ve uygulanabilir yazıldı.</w:t>
      </w:r>
    </w:p>
    <w:p>
      <w:pPr>
        <w:pStyle w:val="ListBullet"/>
        <w:spacing w:after="60"/>
      </w:pPr>
      <w:r>
        <w:t>☐ Harç, gider avansı ve zorunlu başvuru koşulları kontrol edildi.</w:t>
      </w:r>
    </w:p>
    <w:p>
      <w:pPr>
        <w:pStyle w:val="ListBullet"/>
        <w:spacing w:after="60"/>
      </w:pPr>
      <w:r>
        <w:t>☐ Ekler okunaklı, kronolojik ve kişisel veriler bakımından ölçülü hazırlandı.</w:t>
      </w:r>
    </w:p>
    <w:p>
      <w:pPr>
        <w:pStyle w:val="Heading1"/>
      </w:pPr>
      <w:r>
        <w:t>Hukuki Bilgilendirme</w:t>
      </w:r>
    </w:p>
    <w:p>
      <w:r>
        <w:t>Şablon genel bilgilendirme amacı taşır. Süreli işlerde tebliğ belgesi ve dosyanın tamamı incelenmeden yalnız internet örneğine dayanılarak işlem yapılmamalıdır. Bakırcı &amp; Keskin Hukuk Bürosunun tek fiziksel ofisi Mersin’dedir; görev ve yetki kuralları elverdiğinde Türkiye genelindeki dosyalar Mersin’den yönetilir ve koordine edilir.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35" w:right="1077" w:bottom="879" w:left="107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  <w:r>
      <w:rPr>
        <w:color w:val="64748B"/>
        <w:sz w:val="16"/>
      </w:rPr>
      <w:t>halilbakirci.av.tr  •  Genel şablon — somut dosyaya uyarlanmalıdır.</w:t>
    </w:r>
  </w:p>
  <w:p>
    <w:pPr>
      <w:jc w:val="right"/>
    </w:pPr>
    <w:r>
      <w:rPr>
        <w:color w:val="64748B"/>
        <w:sz w:val="16"/>
      </w:rPr>
      <w:t xml:space="preserve">Sayfa </w:t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jc w:val="center"/>
      <w:tblLayout w:type="fixed"/>
      <w:tblLook w:firstColumn="1" w:firstRow="1" w:lastColumn="0" w:lastRow="0" w:noHBand="0" w:noVBand="1" w:val="04A0"/>
    </w:tblPr>
    <w:tblGrid>
      <w:gridCol w:w="6633"/>
      <w:gridCol w:w="3118"/>
    </w:tblGrid>
    <w:tr>
      <w:tc>
        <w:tcPr>
          <w:tcW w:type="dxa" w:w="4876"/>
          <w:shd w:fill="0F172A"/>
          <w:tcMar>
            <w:top w:w="60" w:type="dxa"/>
            <w:start w:w="110" w:type="dxa"/>
            <w:bottom w:w="60" w:type="dxa"/>
            <w:end w:w="110" w:type="dxa"/>
          </w:tcMar>
        </w:tcPr>
        <w:p>
          <w:pPr>
            <w:spacing w:after="0"/>
          </w:pPr>
          <w:r>
            <w:rPr>
              <w:b/>
              <w:color w:val="FFFFFF"/>
              <w:sz w:val="18"/>
            </w:rPr>
            <w:t>BAKIRCI &amp; KESKİN HUKUK BÜROSU</w:t>
          </w:r>
        </w:p>
      </w:tc>
      <w:tc>
        <w:tcPr>
          <w:tcW w:type="dxa" w:w="4876"/>
          <w:shd w:fill="E3BD58"/>
          <w:tcMar>
            <w:top w:w="60" w:type="dxa"/>
            <w:start w:w="110" w:type="dxa"/>
            <w:bottom w:w="60" w:type="dxa"/>
            <w:end w:w="110" w:type="dxa"/>
          </w:tcMar>
        </w:tcPr>
        <w:p>
          <w:pPr>
            <w:spacing w:after="0"/>
            <w:jc w:val="center"/>
          </w:pPr>
          <w:r>
            <w:rPr>
              <w:b/>
              <w:color w:val="0F172A"/>
              <w:sz w:val="16"/>
            </w:rPr>
            <w:t>DİLEKÇE KÜTÜPHANESİ</w:t>
          </w:r>
        </w:p>
      </w:tc>
    </w:tr>
  </w:tbl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10" w:line="259" w:lineRule="auto"/>
    </w:pPr>
    <w:rPr>
      <w:rFonts w:ascii="DejaVu Sans" w:hAnsi="DejaVu Sans"/>
      <w:color w:val="1F2937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DejaVu Sans" w:hAnsi="DejaVu Sans"/>
      <w:b/>
      <w:bCs/>
      <w:color w:val="1E3A8A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DejaVu Sans" w:hAnsi="DejaVu Sans"/>
      <w:b/>
      <w:bCs/>
      <w:color w:val="0F172A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DejaVu Sans" w:hAnsi="DejaVu Sans"/>
      <w:b/>
      <w:color w:val="0F172A"/>
      <w:spacing w:val="5"/>
      <w:kern w:val="28"/>
      <w:sz w:val="4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6183 Sayılı Kanun Ödeme Emrine Karşı Dava Dilekçesi Örneği</dc:title>
  <dc:subject>İdare ve Vergi Hukuku</dc:subject>
  <dc:creator>Av. Halil Bakırcı</dc:creator>
  <cp:keywords>6183 ödeme emrine i̇tiraz dilekçesi örneği, Word dilekçe, İdare ve Vergi Hukuku</cp:keywords>
  <dc:description>Genel hukuk şablonu; somut dosyaya uyarlanmalıdır.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