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 w:eastAsia="Arial" w:cs="Arial"/>
          <w:b/>
          <w:color w:val="1E3A8A"/>
          <w:sz w:val="34"/>
        </w:rPr>
        <w:t>6284 TEDBİR KARARININ UZATILMASI</w:t>
      </w:r>
    </w:p>
    <w:p>
      <w:pPr>
        <w:spacing w:after="200"/>
        <w:jc w:val="center"/>
      </w:pPr>
      <w:r>
        <w:rPr>
          <w:rFonts w:ascii="Arial" w:hAnsi="Arial" w:eastAsia="Arial" w:cs="Arial"/>
          <w:b/>
          <w:color w:val="E3BD58"/>
          <w:sz w:val="24"/>
        </w:rPr>
        <w:t>Profesyonel Dilekçe Taslağı ve Dosya Kontrol Listesi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859"/>
            <w:shd w:fill="F5F7FB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40"/>
            </w:pPr>
            <w:r>
              <w:rPr>
                <w:rFonts w:ascii="Arial" w:hAnsi="Arial" w:eastAsia="Arial" w:cs="Arial"/>
                <w:b/>
                <w:color w:val="1E3A8A"/>
                <w:sz w:val="21"/>
              </w:rPr>
              <w:t>Kullanım amacı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b w:val="0"/>
                <w:color w:val="111827"/>
                <w:sz w:val="21"/>
              </w:rPr>
              <w:t>Mevcut 6284 sayılı Kanun tedbirinin süresi dolmadan veya tedbir devam ederken şiddet/şiddet uygulanma tehlikesi sürüyorsa, kararın aynı şekilde devamı ya da kapsamı değiştirilerek uzatılması için aile mahkemesine sunulacak örnektir.</w:t>
            </w:r>
          </w:p>
        </w:tc>
      </w:tr>
    </w:tbl>
    <w:p>
      <w:pPr>
        <w:spacing w:before="200" w:after="80"/>
        <w:pBdr>
          <w:bottom w:val="single" w:sz="8" w:space="1" w:color="E3BD58"/>
        </w:pBdr>
      </w:pPr>
      <w:r>
        <w:rPr>
          <w:rFonts w:ascii="Arial" w:hAnsi="Arial" w:eastAsia="Arial" w:cs="Arial"/>
          <w:b/>
          <w:color w:val="1E3A8A"/>
          <w:sz w:val="26"/>
        </w:rPr>
        <w:t>1. Dilekçeyi Kullanmadan Önce Dosya Kontrolü</w:t>
      </w:r>
    </w:p>
    <w:p>
      <w:pPr>
        <w:pStyle w:val="ListBullet"/>
        <w:spacing w:after="40" w:line="259" w:lineRule="auto"/>
      </w:pPr>
      <w:r>
        <w:rPr>
          <w:rFonts w:ascii="Arial" w:hAnsi="Arial" w:eastAsia="Arial" w:cs="Arial"/>
          <w:b w:val="0"/>
          <w:color w:val="111827"/>
          <w:sz w:val="21"/>
        </w:rPr>
        <w:t>Mevcut tedbir kararının mahkemesi, esas/değişik iş numarası, karar tarihi ve bitiş tarihi dosyadan aynen alınmalıdır.</w:t>
      </w:r>
    </w:p>
    <w:p>
      <w:pPr>
        <w:pStyle w:val="ListBullet"/>
        <w:spacing w:after="40" w:line="259" w:lineRule="auto"/>
      </w:pPr>
      <w:r>
        <w:rPr>
          <w:rFonts w:ascii="Arial" w:hAnsi="Arial" w:eastAsia="Arial" w:cs="Arial"/>
          <w:b w:val="0"/>
          <w:color w:val="111827"/>
          <w:sz w:val="21"/>
        </w:rPr>
        <w:t>İhlal veya devam eden risk somutlaştırılmalıdır: tarih, yer, iletişim kanalı, tanık, kolluk başvurusu, mesaj/arama kaydı, sağlık belgesi veya başka objektif kayıt varsa ayrı ayrı yazılmalıdır.</w:t>
      </w:r>
    </w:p>
    <w:p>
      <w:pPr>
        <w:pStyle w:val="ListBullet"/>
        <w:spacing w:after="40" w:line="259" w:lineRule="auto"/>
      </w:pPr>
      <w:r>
        <w:rPr>
          <w:rFonts w:ascii="Arial" w:hAnsi="Arial" w:eastAsia="Arial" w:cs="Arial"/>
          <w:b w:val="0"/>
          <w:color w:val="111827"/>
          <w:sz w:val="21"/>
        </w:rPr>
        <w:t>İstenen uzatma yalnız “tedbir uzatılsın” biçiminde bırakılmamalı; hangi önleyici/koruyucu tedbirlerin aynen devamı veya değiştirilmesi istendiği tek tek belirtilmelidir.</w:t>
      </w:r>
    </w:p>
    <w:p>
      <w:pPr>
        <w:pStyle w:val="ListBullet"/>
        <w:spacing w:after="40" w:line="259" w:lineRule="auto"/>
      </w:pPr>
      <w:r>
        <w:rPr>
          <w:rFonts w:ascii="Arial" w:hAnsi="Arial" w:eastAsia="Arial" w:cs="Arial"/>
          <w:b w:val="0"/>
          <w:color w:val="111827"/>
          <w:sz w:val="21"/>
        </w:rPr>
        <w:t>Adres/kimlik gizliliği, kişisel eşya teslimi, çocukla ilgili tedbir veya tedbir nafakası gibi ek talepler dosyanın durumuna göre ayrıca değerlendirilmelidir.</w:t>
      </w:r>
    </w:p>
    <w:p>
      <w:pPr>
        <w:pStyle w:val="ListBullet"/>
        <w:spacing w:after="40" w:line="259" w:lineRule="auto"/>
      </w:pPr>
      <w:r>
        <w:rPr>
          <w:rFonts w:ascii="Arial" w:hAnsi="Arial" w:eastAsia="Arial" w:cs="Arial"/>
          <w:b w:val="0"/>
          <w:color w:val="111827"/>
          <w:sz w:val="21"/>
        </w:rPr>
        <w:t>Vekil bölümü yalnız Av. Halil Bakırcı dosyada gerçekten vekil ise kullanılmalı; aksi halde vekil satırı silinmelidir.</w:t>
      </w:r>
    </w:p>
    <w:p>
      <w:pPr>
        <w:spacing w:before="200" w:after="80"/>
        <w:pBdr>
          <w:bottom w:val="single" w:sz="8" w:space="1" w:color="E3BD58"/>
        </w:pBdr>
      </w:pPr>
      <w:r>
        <w:rPr>
          <w:rFonts w:ascii="Arial" w:hAnsi="Arial" w:eastAsia="Arial" w:cs="Arial"/>
          <w:b/>
          <w:color w:val="1E3A8A"/>
          <w:sz w:val="26"/>
        </w:rPr>
        <w:t>2. Profesyonel Dilekçe Metni</w:t>
      </w:r>
    </w:p>
    <w:p>
      <w:pPr>
        <w:spacing w:before="60" w:after="200" w:line="264" w:lineRule="auto"/>
        <w:ind w:left="0" w:right="0" w:firstLine="0"/>
        <w:jc w:val="center"/>
      </w:pPr>
      <w:r>
        <w:rPr>
          <w:rFonts w:ascii="Arial" w:hAnsi="Arial" w:eastAsia="Arial" w:cs="Arial"/>
          <w:b/>
          <w:color w:val="111827"/>
          <w:sz w:val="24"/>
        </w:rPr>
        <w:t>T.C.</w:t>
        <w:br/>
        <w:t>[İL/İLÇE] NÖBETÇİ AİLE MAHKEMESİ HÂKİMLİĞİNE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2608"/>
            <w:shd w:fill="EDF2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TALEP EDEN / KORUNAN</w:t>
            </w:r>
          </w:p>
        </w:tc>
        <w:tc>
          <w:tcPr>
            <w:tcW w:type="dxa" w:w="65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 w:val="0"/>
                <w:color w:val="111827"/>
                <w:sz w:val="19"/>
              </w:rPr>
              <w:t>[Ad Soyad]</w:t>
            </w:r>
          </w:p>
        </w:tc>
      </w:tr>
      <w:tr>
        <w:tc>
          <w:tcPr>
            <w:tcW w:type="dxa" w:w="2608"/>
            <w:shd w:fill="EDF2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T.C. KİMLİK NO</w:t>
            </w:r>
          </w:p>
        </w:tc>
        <w:tc>
          <w:tcPr>
            <w:tcW w:type="dxa" w:w="65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 w:val="0"/>
                <w:color w:val="111827"/>
                <w:sz w:val="19"/>
              </w:rPr>
              <w:t>[T.C. Kimlik No]</w:t>
            </w:r>
          </w:p>
        </w:tc>
      </w:tr>
      <w:tr>
        <w:tc>
          <w:tcPr>
            <w:tcW w:type="dxa" w:w="2608"/>
            <w:shd w:fill="EDF2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ADRES</w:t>
            </w:r>
          </w:p>
        </w:tc>
        <w:tc>
          <w:tcPr>
            <w:tcW w:type="dxa" w:w="65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 w:val="0"/>
                <w:color w:val="111827"/>
                <w:sz w:val="19"/>
              </w:rPr>
              <w:t>[Gizlilik kararı varsa açık adres yazılmamalıdır]</w:t>
            </w:r>
          </w:p>
        </w:tc>
      </w:tr>
      <w:tr>
        <w:tc>
          <w:tcPr>
            <w:tcW w:type="dxa" w:w="2608"/>
            <w:shd w:fill="EDF2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VEKİLİ (VARSA)</w:t>
            </w:r>
          </w:p>
        </w:tc>
        <w:tc>
          <w:tcPr>
            <w:tcW w:type="dxa" w:w="65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 w:val="0"/>
                <w:color w:val="111827"/>
                <w:sz w:val="19"/>
              </w:rPr>
              <w:t>Av. Halil BAKIRCI – Mersin Barosu Sicil No: 3472</w:t>
            </w:r>
          </w:p>
        </w:tc>
      </w:tr>
      <w:tr>
        <w:tc>
          <w:tcPr>
            <w:tcW w:type="dxa" w:w="2608"/>
            <w:shd w:fill="EDF2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KARŞI TARAF / ŞİDDET UYGULAYAN</w:t>
            </w:r>
          </w:p>
        </w:tc>
        <w:tc>
          <w:tcPr>
            <w:tcW w:type="dxa" w:w="65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 w:val="0"/>
                <w:color w:val="111827"/>
                <w:sz w:val="19"/>
              </w:rPr>
              <w:t>[Ad Soyad / biliniyorsa adres]</w:t>
            </w:r>
          </w:p>
        </w:tc>
      </w:tr>
      <w:tr>
        <w:tc>
          <w:tcPr>
            <w:tcW w:type="dxa" w:w="2608"/>
            <w:shd w:fill="EDF2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DOSYA / KARAR NO</w:t>
            </w:r>
          </w:p>
        </w:tc>
        <w:tc>
          <w:tcPr>
            <w:tcW w:type="dxa" w:w="65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 w:val="0"/>
                <w:color w:val="111827"/>
                <w:sz w:val="19"/>
              </w:rPr>
              <w:t>[... Aile Mahkemesi ... D. İş / Esas No – karar tarihi]</w:t>
            </w:r>
          </w:p>
        </w:tc>
      </w:tr>
      <w:tr>
        <w:tc>
          <w:tcPr>
            <w:tcW w:type="dxa" w:w="2608"/>
            <w:shd w:fill="EDF2FF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KONU</w:t>
            </w:r>
          </w:p>
        </w:tc>
        <w:tc>
          <w:tcPr>
            <w:tcW w:type="dxa" w:w="6576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r>
              <w:rPr>
                <w:rFonts w:ascii="Arial" w:hAnsi="Arial" w:eastAsia="Arial" w:cs="Arial"/>
                <w:b w:val="0"/>
                <w:color w:val="111827"/>
                <w:sz w:val="19"/>
              </w:rPr>
              <w:t>6284 sayılı Kanun m.8/2 uyarınca mevcut tedbirlerin aynen devamına ve/veya kapsamı değiştirilerek uzatılmasına karar verilmesi talebidir.</w:t>
            </w:r>
          </w:p>
        </w:tc>
      </w:tr>
    </w:tbl>
    <w:p>
      <w:pPr>
        <w:spacing w:before="200" w:after="100" w:line="264" w:lineRule="auto"/>
        <w:ind w:left="0" w:right="0" w:firstLine="0"/>
        <w:jc w:val="left"/>
      </w:pPr>
      <w:r>
        <w:rPr>
          <w:rFonts w:ascii="Arial" w:hAnsi="Arial" w:eastAsia="Arial" w:cs="Arial"/>
          <w:b/>
          <w:color w:val="1E3A8A"/>
          <w:sz w:val="23"/>
        </w:rPr>
        <w:t>AÇIKLAMALAR</w:t>
      </w:r>
    </w:p>
    <w:p>
      <w:pPr>
        <w:spacing w:before="0" w:after="120" w:line="269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2"/>
        </w:rPr>
        <w:t>1. Mahkemenizin yukarıda numarası belirtilen dosyasında, 6284 sayılı Ailenin Korunması ve Kadına Karşı Şiddetin Önlenmesine Dair Kanun kapsamında [karar tarihi] tarihinde [karşı tarafın yaklaşmaması / iletişim araçlarıyla rahatsız etmemesi / müşterek konuttan uzaklaştırılması / silahını kolluğa teslim etmesi / uygun diğer tedbirler] yönünde tedbir kararı verilmiştir. Kararın süresi [bitiş tarihi] tarihinde sona erecektir.</w:t>
      </w:r>
    </w:p>
    <w:p>
      <w:pPr>
        <w:spacing w:before="0" w:after="120" w:line="269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2"/>
        </w:rPr>
        <w:t>2. Tedbir kararının verilmesine neden olan şiddet veya şiddet uygulanma tehlikesi ortadan kalkmamıştır. Karardan sonra [tarih] tarihinde [somut olay: telefon araması, mesaj, işyerine/konuta gelme, üçüncü kişiler aracılığıyla temas, tehdit, takip, fiziksel yaklaşma vb.] gerçekleşmiştir. Olayın [polis/jandarma müracaatı, tutanak, ekran görüntüsü, arama kaydı, tanık anlatımı, kamera kaydı, sağlık belgesi] ile doğrulanması mümkündür.</w:t>
      </w:r>
    </w:p>
    <w:p>
      <w:pPr>
        <w:spacing w:before="0" w:after="120" w:line="269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2"/>
        </w:rPr>
        <w:t>3. Mevcut riskin güncel ve devam eden niteliği özellikle [çocuğun okulu, ortak işyeri, aynı mahallede bulunma, önceki ihlaller, silaha erişim, ısrarlı takip, ekonomik baskı veya somut dosyadaki başka risk] nedeniyle sürmektedir. Tedbirin sona ermesi korumanın etkinliğini ortadan kaldıracak ve Kanunun koruyucu amacını zayıflatacaktır.</w:t>
      </w:r>
    </w:p>
    <w:p>
      <w:pPr>
        <w:spacing w:before="0" w:after="120" w:line="269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2"/>
        </w:rPr>
        <w:t>4. 6284 sayılı Kanun m.8/2, tedbir kararının ilk defasında en çok altı ay için verilebileceğini; şiddet veya şiddet uygulanma tehlikesinin devam ettiğinin anlaşılması hâlinde korunan kişinin talebi üzerine tedbirlerin süresinin veya şeklinin değiştirilmesine ya da aynen devamına karar verilebileceğini açıkça düzenlemektedir. Talebimiz bu hükme dayanmaktadır.</w:t>
      </w:r>
    </w:p>
    <w:p>
      <w:pPr>
        <w:spacing w:before="0" w:after="120" w:line="269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2"/>
        </w:rPr>
        <w:t>5. Bu nedenle, daha önce hükmedilen [tedbirleri tek tek yazınız] tedbirlerinin [istenen süre] daha devamına karar verilmesi gerekmektedir. Dosyanın özelliği gerektiriyorsa, [yeni veya değiştirilmesi istenen tedbir] tedbirinin de eklenmesini talep ediyoruz.</w:t>
      </w:r>
    </w:p>
    <w:p>
      <w:pPr>
        <w:spacing w:before="0" w:after="120" w:line="269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2"/>
        </w:rPr>
        <w:t>6. Koruma tedbirlerinin etkinliği bakımından kimlik ve adres bilgilerinin gizli tutulması gerekiyorsa, 6284 sayılı Kanun m.8 kapsamında mevcut gizlilik kararının devamına; daha önce verilmemişse talep edilen gizlilik tedbirinin değerlendirilmesine karar verilmesini de talep ederiz.</w:t>
      </w:r>
    </w:p>
    <w:p>
      <w:pPr>
        <w:spacing w:before="0" w:after="120" w:line="269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2"/>
        </w:rPr>
        <w:t>7. Başvuru, koruyucu mekanizmanın kesintisiz sürmesi amacıyla mevcut karar sona ermeden yapılmaktadır. Mahkemece dosya üzerinden ve gecikmeksizin değerlendirme yapılması, somut tehlikenin niteliği bakımından önem taşımaktadır.</w:t>
      </w:r>
    </w:p>
    <w:p>
      <w:pPr>
        <w:spacing w:before="160" w:after="80" w:line="264" w:lineRule="auto"/>
        <w:ind w:left="0" w:right="0" w:firstLine="0"/>
      </w:pPr>
      <w:r>
        <w:rPr>
          <w:rFonts w:ascii="Arial" w:hAnsi="Arial" w:eastAsia="Arial" w:cs="Arial"/>
          <w:b/>
          <w:color w:val="1E3A8A"/>
          <w:sz w:val="23"/>
        </w:rPr>
        <w:t>HUKUKİ NEDENLER</w:t>
      </w:r>
    </w:p>
    <w:p>
      <w:pPr>
        <w:spacing w:before="0" w:after="100" w:line="264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2"/>
        </w:rPr>
        <w:t>6284 sayılı Kanun özellikle m.1, m.4, m.5, m.8 ve somut olayın gerektirdiği diğer hükümler; 6284 sayılı Kanuna İlişkin Uygulama Yönetmeliği ve ilgili mevzuat.</w:t>
      </w:r>
    </w:p>
    <w:p>
      <w:pPr>
        <w:spacing w:before="160" w:after="80" w:line="264" w:lineRule="auto"/>
        <w:ind w:left="0" w:right="0" w:firstLine="0"/>
      </w:pPr>
      <w:r>
        <w:rPr>
          <w:rFonts w:ascii="Arial" w:hAnsi="Arial" w:eastAsia="Arial" w:cs="Arial"/>
          <w:b/>
          <w:color w:val="1E3A8A"/>
          <w:sz w:val="23"/>
        </w:rPr>
        <w:t>DELİLLER</w:t>
      </w:r>
    </w:p>
    <w:p>
      <w:pPr>
        <w:spacing w:before="0" w:after="100" w:line="264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2"/>
        </w:rPr>
        <w:t>Mevcut tedbir kararı ve tebliğ/tefhim kayıtları; kolluk başvuru ve olay tutanakları; mesaj/e-posta/arama ekran görüntüleri; kamera kayıtları; sağlık raporları; tanık beyanları; sosyal hizmet/ŞÖNİM kayıtları; varsa ceza soruşturması dosyası; UYAP kayıtları ve hukuka uygun diğer deliller.</w:t>
      </w:r>
    </w:p>
    <w:p>
      <w:pPr>
        <w:spacing w:before="160" w:after="80" w:line="264" w:lineRule="auto"/>
        <w:ind w:left="0" w:right="0" w:firstLine="0"/>
      </w:pPr>
      <w:r>
        <w:rPr>
          <w:rFonts w:ascii="Arial" w:hAnsi="Arial" w:eastAsia="Arial" w:cs="Arial"/>
          <w:b/>
          <w:color w:val="1E3A8A"/>
          <w:sz w:val="23"/>
        </w:rPr>
        <w:t>SONUÇ VE İSTEM</w:t>
      </w:r>
    </w:p>
    <w:p>
      <w:pPr>
        <w:pStyle w:val="ListNumber"/>
        <w:spacing w:after="80" w:line="269" w:lineRule="auto"/>
      </w:pPr>
      <w:r>
        <w:rPr>
          <w:rFonts w:ascii="Arial" w:hAnsi="Arial" w:eastAsia="Arial" w:cs="Arial"/>
          <w:b w:val="0"/>
          <w:color w:val="111827"/>
          <w:sz w:val="22"/>
        </w:rPr>
        <w:t>Yukarıda açıklanan nedenlerle, mevcut 6284 sayılı Kanun tedbirlerinin şiddet ve şiddet uygulanma tehlikesi devam ettiğinden [istenen süre] süreyle AYNEN DEVAMINA / UZATILMASINA,</w:t>
      </w:r>
    </w:p>
    <w:p>
      <w:pPr>
        <w:pStyle w:val="ListNumber"/>
        <w:spacing w:after="80" w:line="269" w:lineRule="auto"/>
      </w:pPr>
      <w:r>
        <w:rPr>
          <w:rFonts w:ascii="Arial" w:hAnsi="Arial" w:eastAsia="Arial" w:cs="Arial"/>
          <w:b w:val="0"/>
          <w:color w:val="111827"/>
          <w:sz w:val="22"/>
        </w:rPr>
        <w:t>Somut risk nedeniyle gerekli görülüyorsa [değiştirilmesi veya eklenmesi istenen tedbir] yönünde tedbir kapsamının değiştirilmesine/genişletilmesine,</w:t>
      </w:r>
    </w:p>
    <w:p>
      <w:pPr>
        <w:pStyle w:val="ListNumber"/>
        <w:spacing w:after="80" w:line="269" w:lineRule="auto"/>
      </w:pPr>
      <w:r>
        <w:rPr>
          <w:rFonts w:ascii="Arial" w:hAnsi="Arial" w:eastAsia="Arial" w:cs="Arial"/>
          <w:b w:val="0"/>
          <w:color w:val="111827"/>
          <w:sz w:val="22"/>
        </w:rPr>
        <w:t>Varsa mevcut kimlik ve adres gizliliğinin devamına; gerekiyorsa gizlilik tedbirine hükmedilmesine,</w:t>
      </w:r>
    </w:p>
    <w:p>
      <w:pPr>
        <w:pStyle w:val="ListNumber"/>
        <w:spacing w:after="80" w:line="269" w:lineRule="auto"/>
      </w:pPr>
      <w:r>
        <w:rPr>
          <w:rFonts w:ascii="Arial" w:hAnsi="Arial" w:eastAsia="Arial" w:cs="Arial"/>
          <w:b w:val="0"/>
          <w:color w:val="111827"/>
          <w:sz w:val="22"/>
        </w:rPr>
        <w:t>Kararın gecikmeksizin taraflara ve uygulayacak kolluk birimlerine bildirilmesine karar verilmesini saygıyla arz ve talep ederim.</w:t>
      </w:r>
    </w:p>
    <w:p>
      <w:pPr>
        <w:spacing w:before="160" w:after="40" w:line="264" w:lineRule="auto"/>
        <w:ind w:left="0" w:right="0" w:firstLine="0"/>
        <w:jc w:val="right"/>
      </w:pPr>
      <w:r>
        <w:rPr>
          <w:rFonts w:ascii="Arial" w:hAnsi="Arial" w:eastAsia="Arial" w:cs="Arial"/>
          <w:b w:val="0"/>
          <w:color w:val="111827"/>
          <w:sz w:val="21"/>
        </w:rPr>
        <w:t>16.09.2026</w:t>
      </w:r>
    </w:p>
    <w:p>
      <w:pPr>
        <w:spacing w:before="0" w:after="200" w:line="264" w:lineRule="auto"/>
        <w:ind w:left="0" w:right="0" w:firstLine="0"/>
        <w:jc w:val="right"/>
      </w:pPr>
      <w:r>
        <w:rPr>
          <w:rFonts w:ascii="Arial" w:hAnsi="Arial" w:eastAsia="Arial" w:cs="Arial"/>
          <w:b/>
          <w:color w:val="111827"/>
          <w:sz w:val="21"/>
        </w:rPr>
        <w:t>Talep Eden / Vekili</w:t>
        <w:br/>
        <w:t>Av. Halil BAKIRCI</w:t>
        <w:br/>
        <w:t>Mersin Barosu Sicil No: 3472</w:t>
        <w:br/>
        <w:t>(E-İMZALIDIR)</w:t>
      </w:r>
    </w:p>
    <w:p>
      <w:pPr>
        <w:spacing w:before="100" w:after="80" w:line="264" w:lineRule="auto"/>
        <w:ind w:left="0" w:right="0" w:firstLine="0"/>
      </w:pPr>
      <w:r>
        <w:rPr>
          <w:rFonts w:ascii="Arial" w:hAnsi="Arial" w:eastAsia="Arial" w:cs="Arial"/>
          <w:b/>
          <w:color w:val="1E3A8A"/>
          <w:sz w:val="23"/>
        </w:rPr>
        <w:t>EKLER</w:t>
      </w:r>
    </w:p>
    <w:p>
      <w:pPr>
        <w:spacing w:before="0" w:after="40" w:line="264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1"/>
        </w:rPr>
        <w:t>1. Mevcut tedbir kararı örneği</w:t>
      </w:r>
    </w:p>
    <w:p>
      <w:pPr>
        <w:spacing w:before="0" w:after="40" w:line="264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1"/>
        </w:rPr>
        <w:t>2. Sonraki ihlallere ilişkin tutanak / başvuru kayıtları</w:t>
      </w:r>
    </w:p>
    <w:p>
      <w:pPr>
        <w:spacing w:before="0" w:after="40" w:line="264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1"/>
        </w:rPr>
        <w:t>3. Mesaj, arama veya diğer dijital kayıtların tarih-saat görünen örnekleri</w:t>
      </w:r>
    </w:p>
    <w:p>
      <w:pPr>
        <w:spacing w:before="0" w:after="40" w:line="264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1"/>
        </w:rPr>
        <w:t>4. Varsa sağlık belgesi, kamera kaydı, tanık listesi ve diğer destekleyici belgeler</w:t>
      </w:r>
    </w:p>
    <w:p>
      <w:pPr>
        <w:spacing w:before="0" w:after="40" w:line="264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1"/>
        </w:rPr>
        <w:t>5. Vekâletname (dosyada yoksa)</w:t>
      </w:r>
    </w:p>
    <w:p>
      <w:pPr>
        <w:spacing w:before="200" w:after="80"/>
        <w:pBdr>
          <w:bottom w:val="single" w:sz="8" w:space="1" w:color="E3BD58"/>
        </w:pBdr>
      </w:pPr>
      <w:r>
        <w:rPr>
          <w:rFonts w:ascii="Arial" w:hAnsi="Arial" w:eastAsia="Arial" w:cs="Arial"/>
          <w:b/>
          <w:color w:val="1E3A8A"/>
          <w:sz w:val="26"/>
        </w:rPr>
        <w:t>3. Dosyaya Uyarlama ve Delil Planı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  <w:shd w:fill="1E3A8A"/>
          </w:tcPr>
          <w:p>
            <w:r>
              <w:rPr>
                <w:rFonts w:ascii="Arial" w:hAnsi="Arial" w:eastAsia="Arial" w:cs="Arial"/>
                <w:b/>
                <w:color w:val="FFFFFF"/>
                <w:sz w:val="19"/>
              </w:rPr>
              <w:t>Kontrol</w:t>
            </w:r>
          </w:p>
        </w:tc>
        <w:tc>
          <w:tcPr>
            <w:tcW w:type="dxa" w:w="3286"/>
            <w:shd w:fill="1E3A8A"/>
          </w:tcPr>
          <w:p>
            <w:r>
              <w:rPr>
                <w:rFonts w:ascii="Arial" w:hAnsi="Arial" w:eastAsia="Arial" w:cs="Arial"/>
                <w:b/>
                <w:color w:val="FFFFFF"/>
                <w:sz w:val="19"/>
              </w:rPr>
              <w:t>Dosyada ne yazılacak?</w:t>
            </w:r>
          </w:p>
        </w:tc>
        <w:tc>
          <w:tcPr>
            <w:tcW w:type="dxa" w:w="3286"/>
            <w:shd w:fill="1E3A8A"/>
          </w:tcPr>
          <w:p>
            <w:r>
              <w:rPr>
                <w:rFonts w:ascii="Arial" w:hAnsi="Arial" w:eastAsia="Arial" w:cs="Arial"/>
                <w:b/>
                <w:color w:val="FFFFFF"/>
                <w:sz w:val="19"/>
              </w:rPr>
              <w:t>Durum</w:t>
            </w:r>
          </w:p>
        </w:tc>
      </w:tr>
      <w:tr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  <w:shd w:fill="FAFBFD"/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Karar bilgisi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  <w:shd w:fill="FAFBFD"/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Mahkeme, D. İş/Esas no, karar tarihi, bitiş tarihi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  <w:shd w:fill="FAFBFD"/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Zorunlu kontrol</w:t>
            </w:r>
          </w:p>
        </w:tc>
      </w:tr>
      <w:tr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Devam eden risk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Son olaylar tarih sırasıyla; kim, nerede, ne yaptı?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Somutlaştırılmalı</w:t>
            </w:r>
          </w:p>
        </w:tc>
      </w:tr>
      <w:tr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  <w:shd w:fill="FAFBFD"/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İhlal kaydı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  <w:shd w:fill="FAFBFD"/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Kolluk başvurusu, tutanak, mesaj, arama, kamera, tanık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  <w:shd w:fill="FAFBFD"/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Varsa eklenmeli</w:t>
            </w:r>
          </w:p>
        </w:tc>
      </w:tr>
      <w:tr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İstenen tedbir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Yaklaşmama, iletişim kurmama, konuttan uzaklaştırma vb.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Tek tek yazılmalı</w:t>
            </w:r>
          </w:p>
        </w:tc>
      </w:tr>
      <w:tr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  <w:shd w:fill="FAFBFD"/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İstenen süre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  <w:shd w:fill="FAFBFD"/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Dosyanın risk durumuna göre açıkça yazılmalı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  <w:shd w:fill="FAFBFD"/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Mahkeme takdirinde</w:t>
            </w:r>
          </w:p>
        </w:tc>
      </w:tr>
      <w:tr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Gizlilik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Adres/kimlik ifşası risk yaratıyorsa ayrıca talep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Dosyaya göre</w:t>
            </w:r>
          </w:p>
        </w:tc>
      </w:tr>
      <w:tr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  <w:shd w:fill="FAFBFD"/>
          </w:tcPr>
          <w:p>
            <w:r>
              <w:rPr>
                <w:rFonts w:ascii="Arial" w:hAnsi="Arial" w:eastAsia="Arial" w:cs="Arial"/>
                <w:b/>
                <w:color w:val="1E3A8A"/>
                <w:sz w:val="18"/>
              </w:rPr>
              <w:t>Çocuklar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  <w:shd w:fill="FAFBFD"/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Çocukların okul/teslim/görüşme riski varsa açıklanmalı</w:t>
            </w:r>
          </w:p>
        </w:tc>
        <w:tc>
          <w:tcPr>
            <w:tcW w:type="dxa" w:w="3286"/>
            <w:tcMar>
              <w:top w:w="80" w:type="dxa"/>
              <w:start w:w="90" w:type="dxa"/>
              <w:bottom w:w="80" w:type="dxa"/>
              <w:end w:w="90" w:type="dxa"/>
            </w:tcMar>
            <w:shd w:fill="FAFBFD"/>
          </w:tcPr>
          <w:p>
            <w:r>
              <w:rPr>
                <w:rFonts w:ascii="Arial" w:hAnsi="Arial" w:eastAsia="Arial" w:cs="Arial"/>
                <w:b w:val="0"/>
                <w:color w:val="111827"/>
                <w:sz w:val="18"/>
              </w:rPr>
              <w:t>Dosyaya göre</w:t>
            </w:r>
          </w:p>
        </w:tc>
      </w:tr>
    </w:tbl>
    <w:p>
      <w:pPr>
        <w:spacing w:before="200" w:after="80"/>
        <w:pBdr>
          <w:bottom w:val="single" w:sz="8" w:space="1" w:color="E3BD58"/>
        </w:pBdr>
      </w:pPr>
      <w:r>
        <w:rPr>
          <w:rFonts w:ascii="Arial" w:hAnsi="Arial" w:eastAsia="Arial" w:cs="Arial"/>
          <w:b/>
          <w:color w:val="1E3A8A"/>
          <w:sz w:val="26"/>
        </w:rPr>
        <w:t>4. Kritik Uygulama Notları</w:t>
      </w:r>
    </w:p>
    <w:p>
      <w:pPr>
        <w:pStyle w:val="ListBullet"/>
        <w:spacing w:after="40" w:line="259" w:lineRule="auto"/>
      </w:pPr>
      <w:r>
        <w:rPr>
          <w:rFonts w:ascii="Arial" w:hAnsi="Arial" w:eastAsia="Arial" w:cs="Arial"/>
          <w:b w:val="0"/>
          <w:color w:val="111827"/>
          <w:sz w:val="21"/>
        </w:rPr>
        <w:t>6284 kapsamındaki uzatma talebinin merkezinde “riskin devamı” vardır. Dilekçede yalnız eski olayı tekrar etmek yerine karar sonrasındaki gelişmeleri kronolojik biçimde göstermek, talebin neden hâlen gerekli olduğunu açıklar.</w:t>
      </w:r>
    </w:p>
    <w:p>
      <w:pPr>
        <w:pStyle w:val="ListBullet"/>
        <w:spacing w:after="40" w:line="259" w:lineRule="auto"/>
      </w:pPr>
      <w:r>
        <w:rPr>
          <w:rFonts w:ascii="Arial" w:hAnsi="Arial" w:eastAsia="Arial" w:cs="Arial"/>
          <w:b w:val="0"/>
          <w:color w:val="111827"/>
          <w:sz w:val="21"/>
        </w:rPr>
        <w:t>Tedbirin ilk defasında en çok altı ay için verilebilmesi, uzatma talebinde otomatik olarak belirli bir süre verileceği anlamına gelmez. Mahkeme somut risk durumuna göre tedbirin süresini ve kapsamını değerlendirir.</w:t>
      </w:r>
    </w:p>
    <w:p>
      <w:pPr>
        <w:pStyle w:val="ListBullet"/>
        <w:spacing w:after="40" w:line="259" w:lineRule="auto"/>
      </w:pPr>
      <w:r>
        <w:rPr>
          <w:rFonts w:ascii="Arial" w:hAnsi="Arial" w:eastAsia="Arial" w:cs="Arial"/>
          <w:b w:val="0"/>
          <w:color w:val="111827"/>
          <w:sz w:val="21"/>
        </w:rPr>
        <w:t>Koruyucu tedbir kararı için şiddetin uygulandığına dair delil veya belge aranmadığı düzenlenmiş olmakla birlikte, mevcut kayıtların dilekçeye eklenmesi riskin güncelliğini ve kapsamını açıklamaya yardımcı olur.</w:t>
      </w:r>
    </w:p>
    <w:p>
      <w:pPr>
        <w:pStyle w:val="ListBullet"/>
        <w:spacing w:after="40" w:line="259" w:lineRule="auto"/>
      </w:pPr>
      <w:r>
        <w:rPr>
          <w:rFonts w:ascii="Arial" w:hAnsi="Arial" w:eastAsia="Arial" w:cs="Arial"/>
          <w:b w:val="0"/>
          <w:color w:val="111827"/>
          <w:sz w:val="21"/>
        </w:rPr>
        <w:t>Karşı tarafın tedbir kararını ihlal ettiği ileri sürülüyorsa, uzatma talebinden ayrı olarak 6284 sayılı Kanun m.13 kapsamındaki zorlama hapsi mekanizması da somut olayda değerlendirilmelidir.</w:t>
      </w:r>
    </w:p>
    <w:p>
      <w:pPr>
        <w:pStyle w:val="ListBullet"/>
        <w:spacing w:after="40" w:line="259" w:lineRule="auto"/>
      </w:pPr>
      <w:r>
        <w:rPr>
          <w:rFonts w:ascii="Arial" w:hAnsi="Arial" w:eastAsia="Arial" w:cs="Arial"/>
          <w:b w:val="0"/>
          <w:color w:val="111827"/>
          <w:sz w:val="21"/>
        </w:rPr>
        <w:t>Bu taslak, boş alanları doldurup olduğu gibi gönderilecek “tek tip” bir form değildir. Olayların sırası, istenen tedbirler, çocukların durumu, mevcut ceza soruşturması ve güvenlik riski dosyaya göre yeniden kurulmalıdır.</w:t>
      </w:r>
    </w:p>
    <w:p>
      <w:pPr>
        <w:spacing w:before="200" w:after="80"/>
        <w:pBdr>
          <w:bottom w:val="single" w:sz="8" w:space="1" w:color="E3BD58"/>
        </w:pBdr>
      </w:pPr>
      <w:r>
        <w:rPr>
          <w:rFonts w:ascii="Arial" w:hAnsi="Arial" w:eastAsia="Arial" w:cs="Arial"/>
          <w:b/>
          <w:color w:val="1E3A8A"/>
          <w:sz w:val="26"/>
        </w:rPr>
        <w:t>5. Resmî Dayanak ve Bağlantılar</w:t>
      </w:r>
    </w:p>
    <w:p>
      <w:pPr>
        <w:spacing w:before="0" w:after="60" w:line="264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0"/>
        </w:rPr>
        <w:t>• 6284 sayılı Kanun: https://www.mevzuat.gov.tr/MevzuatMetin/1.5.6284.pdf</w:t>
      </w:r>
    </w:p>
    <w:p>
      <w:pPr>
        <w:spacing w:before="0" w:after="60" w:line="264" w:lineRule="auto"/>
        <w:ind w:left="0" w:right="0" w:firstLine="0"/>
      </w:pPr>
      <w:r>
        <w:rPr>
          <w:rFonts w:ascii="Arial" w:hAnsi="Arial" w:eastAsia="Arial" w:cs="Arial"/>
          <w:b w:val="0"/>
          <w:color w:val="111827"/>
          <w:sz w:val="20"/>
        </w:rPr>
        <w:t>• Aile ve Sosyal Hizmetler Bakanlığı – 6284 SSS: https://www.aile.gov.tr/sss/kadinin-statusu-genel-mudurlugu/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964" w:left="1247" w:header="720" w:footer="720" w:gutter="0"/>
      <w:cols w:space="720"/>
      <w:docGrid w:linePitch="360"/>
    </w:sectPr>
  </w:body>
</w:document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b w:val="0"/>
        <w:color w:val="5B6472"/>
        <w:sz w:val="16"/>
      </w:rPr>
      <w:t>halilbakirci.av.tr  •  Bu metin somut dosyaya uyarlanarak kullanılmalıdır.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 w:cs="Arial"/>
        <w:b/>
        <w:color w:val="1E3A8A"/>
        <w:sz w:val="17"/>
      </w:rPr>
      <w:t>BAKIRCI &amp; KESKİN HUKUK BÜROSU</w:t>
    </w:r>
    <w:r>
      <w:rPr>
        <w:rFonts w:ascii="Arial" w:hAnsi="Arial" w:eastAsia="Arial" w:cs="Arial"/>
        <w:b w:val="0"/>
        <w:color w:val="5B6472"/>
        <w:sz w:val="16"/>
      </w:rPr>
      <w:t xml:space="preserve">  |  Örnek Dilekçe • 16.09.2026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