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Vergi Ziyaında Pişmanlık Hükümlerinden Yararlanma Dilekçesi</w:t>
      </w:r>
    </w:p>
    <w:p>
      <w:pPr>
        <w:jc w:val="center"/>
      </w:pPr>
      <w:r>
        <w:rPr>
          <w:i/>
        </w:rPr>
        <w:t>VUK m.371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Mükellefin bağlı bulunduğu vergi dairesi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Pişmanlık dilekçesi, olay resmi makamlarca öğrenilmeden ve ilgili vergi türü yönünden vergi incelemesine başlanmadan veya olay takdir komisyonuna sevk edilmeden önce kayda verilmelidir. VUK 371 koşullarına göre dilekçeden itibaren on beş gün içinde beyanname verilip vergi ve pişmanlık zammı ödenir.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VUK m.371</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bildirimin VUK 371 kapsamında kayda alınması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MÜKELLEFİN BAĞLI BULUNDUĞU VERGİ DAİRESİ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vergi ziyaında pişmanlık hükümlerinden yararlanma dilekçesi kapsamında, aşağıda açıklanan somut olay ve ekli belgelere dayanılarak bildirimin VUK 371 kapsamında kayda alınması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Beyana dayanan vergiye ilişkin eksiklik idare tarafından tespit edilmeden başvurucu tarafından kendiliğinden açıklanmakta ve kanundaki beyan-ödeme koşulları yerine getirilebilmektedir. Bu sonuç Ek-[numara] belgesi ile doğrulanmaktadır. Belgenin tarihi, düzenleyeni ve olaya bağlantısı aşağıdaki delil listesinde ayrıca gösterilmiştir.</w:t>
      </w:r>
    </w:p>
    <w:p>
      <w:r/>
    </w:p>
    <w:p>
      <w:r>
        <w:t>4. Hukuki değerlendirme</w:t>
      </w:r>
    </w:p>
    <w:p>
      <w:r>
        <w:t>VUK 371; beyana dayanan vergilerde vergi ziyaına yol açan aykırılığın mükellef tarafından kendiliğinden haber verilmesi, önceden ihbar bulunmaması, inceleme veya takdire sevkten önce başvuru, hiç verilmemiş beyannamenin on beş gün içinde verilmesi ve vergi ile pişmanlık zammının süresinde ödenmesi koşullarıyla vergi ziyaı cezası kesilmemesini düzenler. Somut olayda [belge ve olgu] bu hükmün aradığı koşulu karşılamaktadır. Karşılaştırma, varsayıma değil dilekçe ekindeki tarihli kayıtlara dayanmaktadır.</w:t>
      </w:r>
    </w:p>
    <w:p>
      <w:r/>
    </w:p>
    <w:p>
      <w:r>
        <w:t>5. Süre ve yetki</w:t>
      </w:r>
    </w:p>
    <w:p>
      <w:r>
        <w:t>Pişmanlık dilekçesi, olay resmi makamlarca öğrenilmeden ve ilgili vergi türü yönünden vergi incelemesine başlanmadan veya olay takdir komisyonuna sevk edilmeden önce kayda verilmelidir. VUK 371 koşullarına göre dilekçeden itibaren on beş gün içinde beyanname verilip vergi ve pişmanlık zammı ödenir. Başvuru Mükellefin bağlı bulunduğu vergi dairesi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VUK 371; beyana dayanan vergilerde vergi ziyaına yol açan aykırılığın mükellef tarafından kendiliğinden haber verilmesi, önceden ihbar bulunmaması, inceleme veya takdire sevkten önce başvuru, hiç verilmemiş beyannamenin on beş gün içinde verilmesi ve vergi ile pişmanlık zammının süresinde ödenmesi koşullarıyla vergi ziyaı cezası kesilmemesini düzenler ve ilgili ikincil mevzuat.</w:t>
      </w:r>
    </w:p>
    <w:p>
      <w:r/>
    </w:p>
    <w:p>
      <w:pPr>
        <w:jc w:val="center"/>
      </w:pPr>
      <w:r>
        <w:rPr>
          <w:b/>
        </w:rPr>
        <w:t>DELİLLER</w:t>
      </w:r>
    </w:p>
    <w:p>
      <w:r>
        <w:t>1. Pişmanlık kapsamındaki dönem listesi</w:t>
      </w:r>
    </w:p>
    <w:p>
      <w:r>
        <w:t>2. Düzeltilecek veya verilecek beyannameler</w:t>
      </w:r>
    </w:p>
    <w:p>
      <w:r>
        <w:t>3. Vergi hesap çalışma tablosu</w:t>
      </w:r>
    </w:p>
    <w:p>
      <w:r>
        <w:t>4. Temsil ve mükellefiyet belgeleri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Bildirimin VUK 371 kapsamında kayda alınması,</w:t>
      </w:r>
    </w:p>
    <w:p>
      <w:r>
        <w:t>2. Beyannamelerin pişmanlık hükümleriyle işleme konulması,</w:t>
      </w:r>
    </w:p>
    <w:p>
      <w:r>
        <w:t>3. Vergi ziyaı cezası uygulanmaması,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https://www.mevzuat.gov.tr/mevzuatmetin/1.4.213.pdf</w:t>
      </w:r>
    </w:p>
    <w:p>
      <w:r>
        <w:t>https://dijital.gib.gov.tr/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Vergi Ziyaında Pişmanlık Hükümlerinden Yararlanma Dilekçesi</dc:title>
  <dc:subject>VUK m.371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