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Engelli İşçi İçin Makul Düzenleme Talep Dilekçesi</w:t>
      </w:r>
    </w:p>
    <w:p>
      <w:pPr>
        <w:jc w:val="center"/>
      </w:pPr>
      <w:r>
        <w:rPr>
          <w:i/>
        </w:rPr>
        <w:t>6701 sayılı Kanun m.4 ve m.5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İşveren veya insan kaynakları birimi; ayrımcılık sürerse Türkiye İnsan Hakları ve Eşitlik Kurumu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İşverenden makul düzenleme, ihtiyaç doğduğu anda yazılı olarak istenir. 6701 sayılı Kanun 17 uyarınca TİHEK'e başvurmadan önce uygulamanın düzeltilmesi talep edilir; ret hâlinde veya otuz gün içinde cevap verilmezse Kuruma başvurulabilir.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6701 sayılı Kanun m.4 ve m.5</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ihtiyaca uygun makul düzenlemenin belirlenmesi ve uygulanması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İŞVEREN VEYA İNSAN KAYNAKLARI BİRİMİ; AYRIMCILIK SÜRERSE TÜRKİYE İNSAN HAKLARI VE EŞİTLİK KURUMU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engelli işçi için makul düzenleme talep dilekçesi kapsamında, aşağıda açıklanan somut olay ve ekli belgelere dayanılarak ihtiyaca uygun makul düzenlemenin belirlenmesi ve uygulanması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Engelli çalışan işi yapabilecek durumda olmasına rağmen erişilebilir ekipman, çalışma düzeni veya iletişim desteği sağlanmadığı için diğer çalışanlarla eşit biçimde çalışamamaktadır. Bu sonuç Ek-[numara] belgesi ile doğrulanmaktadır. Belgenin tarihi, düzenleyeni ve olaya bağlantısı aşağıdaki delil listesinde ayrıca gösterilmiştir.</w:t>
      </w:r>
    </w:p>
    <w:p>
      <w:r/>
    </w:p>
    <w:p>
      <w:r>
        <w:t>4. Hukuki değerlendirme</w:t>
      </w:r>
    </w:p>
    <w:p>
      <w:r>
        <w:t>6701 sayılı Kanun 4 ve 5, engellilik temelinde doğrudan-dolaylı ayrımcılığı ve makul düzenleme yapmamayı yasaklar. Düzenleme; görevin temel niteliğini değiştirmeden çalışma alanı, erişim, ekipman, yazılım, vardiya veya iletişim yönteminde somut uyarlamadır. Ölçüsüz yük savunması soyut maliyet iddiasıyla değil, işyerinin kaynakları ve istenen tedbirin etkisiyle açıklanmalıdır. Somut olayda [belge ve olgu] bu hükmün aradığı koşulu karşılamaktadır. Karşılaştırma, varsayıma değil dilekçe ekindeki tarihli kayıtlara dayanmaktadır.</w:t>
      </w:r>
    </w:p>
    <w:p>
      <w:r/>
    </w:p>
    <w:p>
      <w:r>
        <w:t>5. Süre ve yetki</w:t>
      </w:r>
    </w:p>
    <w:p>
      <w:r>
        <w:t>İşverenden makul düzenleme, ihtiyaç doğduğu anda yazılı olarak istenir. 6701 sayılı Kanun 17 uyarınca TİHEK'e başvurmadan önce uygulamanın düzeltilmesi talep edilir; ret hâlinde veya otuz gün içinde cevap verilmezse Kuruma başvurulabilir. Başvuru İşveren veya insan kaynakları birimi; ayrımcılık sürerse Türkiye İnsan Hakları ve Eşitlik Kurumu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6701 sayılı Kanun 4 ve 5, engellilik temelinde doğrudan-dolaylı ayrımcılığı ve makul düzenleme yapmamayı yasaklar ve ilgili ikincil mevzuat.</w:t>
      </w:r>
    </w:p>
    <w:p>
      <w:r/>
    </w:p>
    <w:p>
      <w:pPr>
        <w:jc w:val="center"/>
      </w:pPr>
      <w:r>
        <w:rPr>
          <w:b/>
        </w:rPr>
        <w:t>DELİLLER</w:t>
      </w:r>
    </w:p>
    <w:p>
      <w:r>
        <w:t>1. Engellilik veya sağlık durumunu gösteren rapor</w:t>
      </w:r>
    </w:p>
    <w:p>
      <w:r>
        <w:t>2. Görev tanımı ve çalışma koşulları</w:t>
      </w:r>
    </w:p>
    <w:p>
      <w:r>
        <w:t>3. İstenen düzenlemeyi açıklayan uzman görüşü veya teklif</w:t>
      </w:r>
    </w:p>
    <w:p>
      <w:r>
        <w:t>4. İşverenle yapılan önceki yazışmalar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İhtiyaca uygun makul düzenlemenin belirlenmesi ve uygulanması,</w:t>
      </w:r>
    </w:p>
    <w:p>
      <w:r>
        <w:t>2. Ayrımcı sonuç doğuran uygulamanın durdurulması,</w:t>
      </w:r>
    </w:p>
    <w:p>
      <w:r>
        <w:t>3. Alınan kararın gerekçeli ve yazılı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https://www.mevzuat.gov.tr/mevzuatmetin/1.5.6701.pdf</w:t>
      </w:r>
    </w:p>
    <w:p>
      <w:r>
        <w:t>https://www.tihek.gov.tr/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Engelli İşçi İçin Makul Düzenleme Talep Dilekçesi</dc:title>
  <dc:subject>6701 sayılı Kanun m.4 ve m.5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