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Bireysel Emeklilik Sisteminden Ayrılma Talep Dilekçesi</w:t>
      </w:r>
    </w:p>
    <w:p>
      <w:pPr>
        <w:jc w:val="center"/>
      </w:pPr>
      <w:r>
        <w:rPr>
          <w:i/>
        </w:rPr>
        <w:t>4632 sayılı Kanun m.6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Bireysel emeklilik sözleşmesinin tarafı olan emeklilik şirketi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4632 sayılı Kanun 6 uyarınca emekliliğe hak kazanmadan sistemden ayrılma bildirimi şirkete ulaştığında şirket, katılımcının birikimini yirmi iş günü içinde tamamen öder. Bildirim tarihi ve kimliği doğrulayan teslim kaydı saklanmalıdır.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4632 sayılı Kanun m.6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ayrılma talebinin bildirim tarihiyle işleme alınması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BİREYSEL EMEKLİLİK SÖZLEŞMESİNİN TARAFI OLAN EMEKLİLİK ŞİRKETİ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bireysel emeklilik sisteminden ayrılma talep dilekçesi kapsamında, aşağıda açıklanan somut olay ve ekli belgelere dayanılarak ayrılma talebinin bildirim tarihiyle işleme alınması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Katılımcı usulüne uygun ayrılma talebi vermesine rağmen şirket talebi işleme almamış, kesintileri açıklamamış veya yirmi iş günü içinde ödeme yapmamıştır. Bu sonuç Ek-[numara] belgesi ile doğrulanmaktadır. Belgenin tarihi, düzenleyeni ve olaya bağlantısı aşağıdaki delil listesinde ayrıca gösterilmiştir.</w:t>
      </w:r>
    </w:p>
    <w:p>
      <w:r/>
    </w:p>
    <w:p>
      <w:r>
        <w:t>4. Hukuki değerlendirme</w:t>
      </w:r>
    </w:p>
    <w:p>
      <w:r>
        <w:t>Katılımcı emekliliğe hak kazanmadan önce sözleşmeden ayrılabilir. Şirket; fon paylarını, sözleşme kesintilerini, devlet katkısı hesabını ve vergi kesintisini mevzuata göre ayrıştırarak ayrılma bilgi formu düzenlemeli, birikimi yasal sürede ödemelidir. Ayrılma talebini satış kanalından daha ağır bir usule bağlayan işlemler kabul edilemez. Somut olayda [belge ve olgu] bu hükmün aradığı koşulu karşılamaktadır. Karşılaştırma, varsayıma değil dilekçe ekindeki tarihli kayıtlara dayanmaktadır.</w:t>
      </w:r>
    </w:p>
    <w:p>
      <w:r/>
    </w:p>
    <w:p>
      <w:r>
        <w:t>5. Süre ve yetki</w:t>
      </w:r>
    </w:p>
    <w:p>
      <w:r>
        <w:t>4632 sayılı Kanun 6 uyarınca emekliliğe hak kazanmadan sistemden ayrılma bildirimi şirkete ulaştığında şirket, katılımcının birikimini yirmi iş günü içinde tamamen öder. Bildirim tarihi ve kimliği doğrulayan teslim kaydı saklanmalıdır. Başvuru Bireysel emeklilik sözleşmesinin tarafı olan emeklilik şirketi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Katılımcı emekliliğe hak kazanmadan önce sözleşmeden ayrılabilir ve ilgili ikincil mevzuat.</w:t>
      </w:r>
    </w:p>
    <w:p>
      <w:r/>
    </w:p>
    <w:p>
      <w:pPr>
        <w:jc w:val="center"/>
      </w:pPr>
      <w:r>
        <w:rPr>
          <w:b/>
        </w:rPr>
        <w:t>DELİLLER</w:t>
      </w:r>
    </w:p>
    <w:p>
      <w:r>
        <w:t>1. Bireysel emeklilik sözleşmesi ve plan bilgisi</w:t>
      </w:r>
    </w:p>
    <w:p>
      <w:r>
        <w:t>2. Güncel hesap ve fon dökümü</w:t>
      </w:r>
    </w:p>
    <w:p>
      <w:r>
        <w:t>3. Ayrılma bildirimi ile teslim kanıtı</w:t>
      </w:r>
    </w:p>
    <w:p>
      <w:r>
        <w:t>4. Şirketin kesinti veya ödeme cevabı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Ayrılma talebinin bildirim tarihiyle işleme alınması,</w:t>
      </w:r>
    </w:p>
    <w:p>
      <w:r>
        <w:t>2. Kesinti ve devlet katkısı hesabının kalem kalem açıklanması,</w:t>
      </w:r>
    </w:p>
    <w:p>
      <w:r>
        <w:t>3. Net birikimin yirmi iş günü içinde ödenmesi,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https://www.mevzuat.gov.tr/mevzuatmetin/1.5.4632.pdf</w:t>
      </w:r>
    </w:p>
    <w:p>
      <w:r>
        <w:t>https://www.egm.org.tr/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Bireysel Emeklilik Sisteminden Ayrılma Talep Dilekçesi</dc:title>
  <dc:subject>4632 sayılı Kanun m.6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