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Eşin Tasarruf Yetkisinin Sınırlanması Dilekçesi</w:t>
      </w:r>
    </w:p>
    <w:p>
      <w:pPr>
        <w:jc w:val="center"/>
      </w:pPr>
      <w:r>
        <w:rPr>
          <w:i/>
        </w:rPr>
        <w:t>TMK m.199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Eşlerden herhangi birinin yerleşim yeri aile mahkemesi; aile mahkemesi bulunmayan yerde aile mahkemesi sıfatıyla asliye hukuk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TMK 199 için özel bir hak düşürücü süre yoktur. Ailenin ekonomik varlığını tehlikeye sokan tasarruf öğrenildiğinde, sonraki devirleri önlemek için ihtiyati tedbir talebiyle birlikte gecikmeksizin başvurulur.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TMK m.199</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belirtilen malvarlığı tasarruflarının diğer eşin rızasına bağlanması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EŞLERDEN HERHANGİ BİRİNİN YERLEŞİM YERİ AİLE MAHKEMESİ; AİLE MAHKEMESİ BULUNMAYAN YERDE AİLE MAHKEMESİ SIFATIYLA ASLİYE HUKUK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eşin tasarruf yetkisinin sınırlanması dilekçesi kapsamında, aşağıda açıklanan somut olay ve ekli belgelere dayanılarak belirtilen malvarlığı tasarruflarının diğer eşin rızasına bağlanması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Eş, ortak yaşamın finansmanını ve aile konutunu tehlikeye düşürecek biçimde taşınmaz, araç, şirket payı veya önemli birikimi devretmeye hazırlanmaktadır. Bu sonuç Ek-[numara] belgesi ile doğrulanmaktadır. Belgenin tarihi, düzenleyeni ve olaya bağlantısı aşağıdaki delil listesinde ayrıca gösterilmiştir.</w:t>
      </w:r>
    </w:p>
    <w:p>
      <w:r/>
    </w:p>
    <w:p>
      <w:r>
        <w:t>4. Hukuki değerlendirme</w:t>
      </w:r>
    </w:p>
    <w:p>
      <w:r>
        <w:t>TMK 199, ailenin ekonomik varlığının korunması veya evlilik birliğinden doğan mali yükümlülüğün yerine getirilmesi gerektiriyorsa hâkimin belirleyeceği malvarlığı değerleri üzerindeki tasarrufların diğer eşin rızasına bağlanmasına izin verir. Taşınmaz yönünden hâkim, tapu siciline şerh verilmesine karar verebilir; sınırlama tüm malvarlığına değil, tehlikeyle orantılı belirli değerlere yöneltilmelidir. Somut olayda [belge ve olgu] bu hükmün aradığı koşulu karşılamaktadır. Karşılaştırma, varsayıma değil dilekçe ekindeki tarihli kayıtlara dayanmaktadır.</w:t>
      </w:r>
    </w:p>
    <w:p>
      <w:r/>
    </w:p>
    <w:p>
      <w:r>
        <w:t>5. Süre ve yetki</w:t>
      </w:r>
    </w:p>
    <w:p>
      <w:r>
        <w:t>TMK 199 için özel bir hak düşürücü süre yoktur. Ailenin ekonomik varlığını tehlikeye sokan tasarruf öğrenildiğinde, sonraki devirleri önlemek için ihtiyati tedbir talebiyle birlikte gecikmeksizin başvurulur. Başvuru Eşlerden herhangi birinin yerleşim yeri aile mahkemesi; aile mahkemesi bulunmayan yerde aile mahkemesi sıfatıyla asliye hukuk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TMK 199, ailenin ekonomik varlığının korunması veya evlilik birliğinden doğan mali yükümlülüğün yerine getirilmesi gerektiriyorsa hâkimin belirleyeceği malvarlığı değerleri üzerindeki tasarrufların diğer eşin rızasına bağlanmasına izin verir ve ilgili ikincil mevzuat.</w:t>
      </w:r>
    </w:p>
    <w:p>
      <w:r/>
    </w:p>
    <w:p>
      <w:pPr>
        <w:jc w:val="center"/>
      </w:pPr>
      <w:r>
        <w:rPr>
          <w:b/>
        </w:rPr>
        <w:t>DELİLLER</w:t>
      </w:r>
    </w:p>
    <w:p>
      <w:r>
        <w:t>1. Evlilik ve yerleşim yeri kayıtları</w:t>
      </w:r>
    </w:p>
    <w:p>
      <w:r>
        <w:t>2. Sınırlandırılması istenen malvarlığı belgeleri</w:t>
      </w:r>
    </w:p>
    <w:p>
      <w:r>
        <w:t>3. Satış, devir veya borçlanma hazırlığını gösteren kayıtlar</w:t>
      </w:r>
    </w:p>
    <w:p>
      <w:r>
        <w:t>4. Ailenin gider, gelir ve yükümlülük belgeleri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Belirtilen malvarlığı tasarruflarının diğer eşin rızasına bağlanması,</w:t>
      </w:r>
    </w:p>
    <w:p>
      <w:r>
        <w:t>2. Taşınmazlar için tapu siciline şerh verilmesi,</w:t>
      </w:r>
    </w:p>
    <w:p>
      <w:r>
        <w:t>3. Dava sonuna kadar devri önleyici ihtiyati tedbir uygulanması,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https://www.mevzuat.gov.tr/mevzuatmetin/1.5.4721.pdf</w:t>
      </w:r>
    </w:p>
    <w:p>
      <w:r>
        <w:t>https://www.adalet.gov.tr/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Eşin Tasarruf Yetkisinin Sınırlanması Dilekçesi</dc:title>
  <dc:subject>TMK m.199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