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Ceza Soruşturmasında Dosya İnceleme Kısıtlamasına İtiraz Dilekçesi</w:t>
      </w:r>
    </w:p>
    <w:p>
      <w:pPr>
        <w:jc w:val="center"/>
      </w:pPr>
      <w:r>
        <w:rPr>
          <w:i/>
        </w:rPr>
        <w:t>CMK m.153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Kısıtlama kararını veren sulh ceza hâkimliği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CMK 268 uyarınca kararı öğrenme tarihinden itibaren iki hafta içinde, kararı veren sulh ceza hâkimliğine itiraz edilir. Hâkimlik itirazı yerinde görmezse dosyayı en çok üç gün içinde yetkili itiraz merciine gönderir.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CMK m.153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kısıtlama kararının kaldırılması veya somut belgelerle sınırlandırılması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KISITLAMA KARARINI VEREN SULH CEZA HÂKİMLİĞİ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ceza soruşturmasında dosya inceleme kısıtlamasına itiraz dilekçesi kapsamında, aşağıda açıklanan somut olay ve ekli belgelere dayanılarak kısıtlama kararının kaldırılması veya somut belgelerle sınırlandırılması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Kısıtlama kararı suç ve belge ayrımı yapmadan bütün dosyaya yayılmış, soyut gerekçeye dayanmış veya kanunen erişime açık belgeleri de kapsamıştır. Bu sonuç Ek-[numara] belgesi ile doğrulanmaktadır. Belgenin tarihi, düzenleyeni ve olaya bağlantısı aşağıdaki delil listesinde ayrıca gösterilmiştir.</w:t>
      </w:r>
    </w:p>
    <w:p>
      <w:r/>
    </w:p>
    <w:p>
      <w:r>
        <w:t>4. Hukuki değerlendirme</w:t>
      </w:r>
    </w:p>
    <w:p>
      <w:r>
        <w:t>CMK 153 uyarınca müdafi soruşturma dosyasını inceleyebilir ve örnek alabilir. Kısıtlama ancak Cumhuriyet savcısının istemi üzerine sulh ceza hâkimi kararıyla ve incelemenin soruşturma amacını tehlikeye düşüreceği somutlaştırılarak uygulanabilir. Yakalanan kişinin veya şüphelinin ifadesi, bilirkişi raporları ve hazır bulunmaya yetkili olunan işlemlerin tutanakları kısıtlamanın dışında kalır. Somut olayda [belge ve olgu] bu hükmün aradığı koşulu karşılamaktadır. Karşılaştırma, varsayıma değil dilekçe ekindeki tarihli kayıtlara dayanmaktadır.</w:t>
      </w:r>
    </w:p>
    <w:p>
      <w:r/>
    </w:p>
    <w:p>
      <w:r>
        <w:t>5. Süre ve yetki</w:t>
      </w:r>
    </w:p>
    <w:p>
      <w:r>
        <w:t>CMK 268 uyarınca kararı öğrenme tarihinden itibaren iki hafta içinde, kararı veren sulh ceza hâkimliğine itiraz edilir. Hâkimlik itirazı yerinde görmezse dosyayı en çok üç gün içinde yetkili itiraz merciine gönderir. Başvuru Kısıtlama kararını veren sulh ceza hâkimliği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CMK 153 uyarınca müdafi soruşturma dosyasını inceleyebilir ve örnek alabilir ve ilgili ikincil mevzuat.</w:t>
      </w:r>
    </w:p>
    <w:p>
      <w:r/>
    </w:p>
    <w:p>
      <w:pPr>
        <w:jc w:val="center"/>
      </w:pPr>
      <w:r>
        <w:rPr>
          <w:b/>
        </w:rPr>
        <w:t>DELİLLER</w:t>
      </w:r>
    </w:p>
    <w:p>
      <w:r>
        <w:t>1. Kısıtlama kararı ve öğrenme-tebliğ belgesi</w:t>
      </w:r>
    </w:p>
    <w:p>
      <w:r>
        <w:t>2. Dosya inceleme talebi ve ret kaydı</w:t>
      </w:r>
    </w:p>
    <w:p>
      <w:r>
        <w:t>3. Erişimi engellenen belge listesi</w:t>
      </w:r>
    </w:p>
    <w:p>
      <w:r>
        <w:t>4. Savunma hakkına etkisini gösteren duruşma ve işlem tarihleri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Kısıtlama kararının kaldırılması veya somut belgelerle sınırlandırılması,</w:t>
      </w:r>
    </w:p>
    <w:p>
      <w:r>
        <w:t>2. CMK 153/3 kapsamındaki belgelere derhâl erişim,</w:t>
      </w:r>
    </w:p>
    <w:p>
      <w:r>
        <w:t>3. Karar ve inceleme sonucunun UYAP üzerinden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https://www.mevzuat.gov.tr/mevzuatmetin/1.5.5271.pdf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Soruşturmasında Dosya İnceleme Kısıtlamasına İtiraz Dilekçesi</dc:title>
  <dc:subject>CMK m.153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