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Duruşmaya SEGBİS ile Katılma Talep Dilekçesi</w:t>
      </w:r>
    </w:p>
    <w:p>
      <w:pPr>
        <w:jc w:val="center"/>
      </w:pPr>
      <w:r>
        <w:rPr>
          <w:i/>
        </w:rPr>
        <w:t>CMK m.196 ve SEGBİS Yönetmeliği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Yargılamayı yürüten ceza mahkemesi veya soruşturma evresinde ilgili Cumhuriyet başsavcılığı ve hâkimlik</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SEGBİS talebi için özel bir gün süresi yoktur; teknik bağlantı ve karşı merci yazışmasının kurulabilmesi için duruşma tarihinden makul süre önce verilir. Tutuklu veya hükümlü kişi için ceza infaz kurumu bilgisi açıkça yazılır.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CMK m.196 ve SEGBİS Yönetmeliği</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belirtilen duruşmaya SEGBİS üzerinden katılım izni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YARGILAMAYI YÜRÜTEN CEZA MAHKEMESİ VEYA SORUŞTURMA EVRESİNDE İLGİLİ CUMHURİYET BAŞSAVCILIĞI VE HÂKİMLİK</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duruşmaya segbis ile katılma talep dilekçesi kapsamında, aşağıda açıklanan somut olay ve ekli belgelere dayanılarak belirtilen duruşmaya SEGBİS üzerinden katılım izni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Başvurucu başka ilde, ceza infaz kurumunda, ağır sağlık veya ulaşım engeli altında bulunduğundan fiziki katılım ciddi güçlük doğurmakta; kimlik ve savunma güvenliği SEGBİS ile sağlanabilmektedir. Bu sonuç Ek-[numara] belgesi ile doğrulanmaktadır. Belgenin tarihi, düzenleyeni ve olaya bağlantısı aşağıdaki delil listesinde ayrıca gösterilmiştir.</w:t>
      </w:r>
    </w:p>
    <w:p>
      <w:r/>
    </w:p>
    <w:p>
      <w:r>
        <w:t>4. Hukuki değerlendirme</w:t>
      </w:r>
    </w:p>
    <w:p>
      <w:r>
        <w:t>CMK 196 ve Ceza Muhakemesinde SEGBİS Kullanılması Hakkında Yönetmelik, sanığın sorgu ve duruşmaya görüntülü-sesli iletişimle katılabilmesine imkân verir. Mahkeme; doğrudanlık, savunma hakkı, sağlık, güvenlik, mesafe ve duruşmanın niteliğini somut olayda birlikte değerlendirir. Talep, yüz yüze katılma hakkından genel ve geri alınamaz feragat anlamına gelmez. Somut olayda [belge ve olgu] bu hükmün aradığı koşulu karşılamaktadır. Karşılaştırma, varsayıma değil dilekçe ekindeki tarihli kayıtlara dayanmaktadır.</w:t>
      </w:r>
    </w:p>
    <w:p>
      <w:r/>
    </w:p>
    <w:p>
      <w:r>
        <w:t>5. Süre ve yetki</w:t>
      </w:r>
    </w:p>
    <w:p>
      <w:r>
        <w:t>SEGBİS talebi için özel bir gün süresi yoktur; teknik bağlantı ve karşı merci yazışmasının kurulabilmesi için duruşma tarihinden makul süre önce verilir. Tutuklu veya hükümlü kişi için ceza infaz kurumu bilgisi açıkça yazılır. Başvuru Yargılamayı yürüten ceza mahkemesi veya soruşturma evresinde ilgili Cumhuriyet başsavcılığı ve hâkimlik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CMK 196 ve Ceza Muhakemesinde SEGBİS Kullanılması Hakkında Yönetmelik, sanığın sorgu ve duruşmaya görüntülü-sesli iletişimle katılabilmesine imkân verir ve ilgili ikincil mevzuat.</w:t>
      </w:r>
    </w:p>
    <w:p>
      <w:r/>
    </w:p>
    <w:p>
      <w:pPr>
        <w:jc w:val="center"/>
      </w:pPr>
      <w:r>
        <w:rPr>
          <w:b/>
        </w:rPr>
        <w:t>DELİLLER</w:t>
      </w:r>
    </w:p>
    <w:p>
      <w:r>
        <w:t>1. Duruşma gününü gösteren tensip veya davetiye</w:t>
      </w:r>
    </w:p>
    <w:p>
      <w:r>
        <w:t>2. Bulunulan adres veya kurum belgesi</w:t>
      </w:r>
    </w:p>
    <w:p>
      <w:r>
        <w:t>3. Sağlık, tutukluluk ya da ulaşım engeli belgesi</w:t>
      </w:r>
    </w:p>
    <w:p>
      <w:r>
        <w:t>4. SEGBİS bağlantısı kurulacak merci bilgisi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Belirtilen duruşmaya SEGBİS üzerinden katılım izni,</w:t>
      </w:r>
    </w:p>
    <w:p>
      <w:r>
        <w:t>2. Bağlantı kurulacak adli merci veya kurumla müzekkere yazışması,</w:t>
      </w:r>
    </w:p>
    <w:p>
      <w:r>
        <w:t>3. Müdafiyle gizli görüşme ve savunma imkânının sağlanması,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https://www.mevzuat.gov.tr/mevzuatmetin/1.5.5271.pdf</w:t>
      </w:r>
    </w:p>
    <w:p>
      <w:r>
        <w:t>https://uyap.gov.tr/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Duruşmaya SEGBİS ile Katılma Talep Dilekçesi</dc:title>
  <dc:subject>CMK m.196 ve SEGBİS Yönetmeliği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