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Birinci Haciz İhbarnamesine İtiraz Dilekçesi</w:t>
      </w:r>
    </w:p>
    <w:p>
      <w:pPr>
        <w:spacing w:after="240"/>
        <w:jc w:val="center"/>
      </w:pPr>
      <w:r>
        <w:rPr>
          <w:rFonts w:ascii="Aptos" w:hAnsi="Aptos" w:eastAsia="Aptos"/>
          <w:b/>
          <w:color w:val="17365D"/>
          <w:sz w:val="22"/>
        </w:rPr>
        <w:t>İcra ve İflas Kanunu 89 Birinci Fıkra Profesyonel Örnek</w:t>
      </w:r>
    </w:p>
    <w:p>
      <w:pPr>
        <w:spacing w:after="200"/>
      </w:pPr>
      <w:r>
        <w:t>Bu belge, birinci haciz ihbarnamesine yazılı itirazın açık ve dosyaya özgü kurulması için hazırlanmıştır. İtirazın geçerliliği için mahkeme kararı istenmez; başvuru haciz ihbarnamesini gönderen icra dairesine yapılır.</w:t>
      </w:r>
    </w:p>
    <w:p>
      <w:pPr>
        <w:jc w:val="center"/>
      </w:pPr>
      <w:r>
        <w:rPr>
          <w:rFonts w:ascii="Aptos" w:hAnsi="Aptos" w:eastAsia="Aptos"/>
          <w:b/>
          <w:color w:val="000000"/>
          <w:sz w:val="24"/>
        </w:rPr>
        <w:t>[HACİZ İHBARNAMESİNİ GÖNDEREN] İCRA MÜDÜRLÜĞÜNE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376"/>
        <w:gridCol w:w="7272"/>
      </w:tblGrid>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İcra dosya no</w:t>
            </w:r>
          </w:p>
        </w:tc>
        <w:tc>
          <w:tcPr>
            <w:tcW w:type="dxa" w:w="7272"/>
            <w:vAlign w:val="center"/>
            <w:shd w:fill="FFFFFF"/>
            <w:tcMar>
              <w:top w:w="120" w:type="dxa"/>
              <w:start w:w="120" w:type="dxa"/>
              <w:bottom w:w="120" w:type="dxa"/>
              <w:end w:w="120" w:type="dxa"/>
            </w:tcMar>
          </w:tcPr>
          <w:p>
            <w:pPr>
              <w:spacing w:after="0"/>
            </w:pPr>
            <w:r>
              <w:rPr>
                <w:rFonts w:ascii="Aptos" w:hAnsi="Aptos" w:eastAsia="Aptos"/>
                <w:color w:val="000000"/>
                <w:sz w:val="21"/>
              </w:rPr>
              <w:t>[DOSYA NUMARASI]</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Üçüncü kişi</w:t>
            </w:r>
          </w:p>
        </w:tc>
        <w:tc>
          <w:tcPr>
            <w:tcW w:type="dxa" w:w="7272"/>
            <w:vAlign w:val="center"/>
            <w:shd w:fill="F3F4F6"/>
            <w:tcMar>
              <w:top w:w="120" w:type="dxa"/>
              <w:start w:w="120" w:type="dxa"/>
              <w:bottom w:w="120" w:type="dxa"/>
              <w:end w:w="120" w:type="dxa"/>
            </w:tcMar>
          </w:tcPr>
          <w:p>
            <w:pPr>
              <w:spacing w:after="0"/>
            </w:pPr>
            <w:r>
              <w:rPr>
                <w:rFonts w:ascii="Aptos" w:hAnsi="Aptos" w:eastAsia="Aptos"/>
                <w:color w:val="000000"/>
                <w:sz w:val="21"/>
              </w:rPr>
              <w:t>[AD SOYAD VEYA UNVAN TCKN VKN ADRES]</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Vekili</w:t>
            </w:r>
          </w:p>
        </w:tc>
        <w:tc>
          <w:tcPr>
            <w:tcW w:type="dxa" w:w="7272"/>
            <w:vAlign w:val="center"/>
            <w:shd w:fill="FFFFFF"/>
            <w:tcMar>
              <w:top w:w="120" w:type="dxa"/>
              <w:start w:w="120" w:type="dxa"/>
              <w:bottom w:w="120" w:type="dxa"/>
              <w:end w:w="120" w:type="dxa"/>
            </w:tcMar>
          </w:tcPr>
          <w:p>
            <w:pPr>
              <w:spacing w:after="0"/>
            </w:pPr>
            <w:r>
              <w:rPr>
                <w:rFonts w:ascii="Aptos" w:hAnsi="Aptos" w:eastAsia="Aptos"/>
                <w:color w:val="000000"/>
                <w:sz w:val="21"/>
              </w:rPr>
              <w:t>[VARSA AVUKAT ADI VE ADRESİ]</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Alacaklı</w:t>
            </w:r>
          </w:p>
        </w:tc>
        <w:tc>
          <w:tcPr>
            <w:tcW w:type="dxa" w:w="7272"/>
            <w:vAlign w:val="center"/>
            <w:shd w:fill="F3F4F6"/>
            <w:tcMar>
              <w:top w:w="120" w:type="dxa"/>
              <w:start w:w="120" w:type="dxa"/>
              <w:bottom w:w="120" w:type="dxa"/>
              <w:end w:w="120" w:type="dxa"/>
            </w:tcMar>
          </w:tcPr>
          <w:p>
            <w:pPr>
              <w:spacing w:after="0"/>
            </w:pPr>
            <w:r>
              <w:rPr>
                <w:rFonts w:ascii="Aptos" w:hAnsi="Aptos" w:eastAsia="Aptos"/>
                <w:color w:val="000000"/>
                <w:sz w:val="21"/>
              </w:rPr>
              <w:t>[AD SOYAD VEYA UNVAN]</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Takip borçlusu</w:t>
            </w:r>
          </w:p>
        </w:tc>
        <w:tc>
          <w:tcPr>
            <w:tcW w:type="dxa" w:w="7272"/>
            <w:vAlign w:val="center"/>
            <w:shd w:fill="FFFFFF"/>
            <w:tcMar>
              <w:top w:w="120" w:type="dxa"/>
              <w:start w:w="120" w:type="dxa"/>
              <w:bottom w:w="120" w:type="dxa"/>
              <w:end w:w="120" w:type="dxa"/>
            </w:tcMar>
          </w:tcPr>
          <w:p>
            <w:pPr>
              <w:spacing w:after="0"/>
            </w:pPr>
            <w:r>
              <w:rPr>
                <w:rFonts w:ascii="Aptos" w:hAnsi="Aptos" w:eastAsia="Aptos"/>
                <w:color w:val="000000"/>
                <w:sz w:val="21"/>
              </w:rPr>
              <w:t>[AD SOYAD VEYA UNVAN]</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Tebliğ tarihi</w:t>
            </w:r>
          </w:p>
        </w:tc>
        <w:tc>
          <w:tcPr>
            <w:tcW w:type="dxa" w:w="7272"/>
            <w:vAlign w:val="center"/>
            <w:shd w:fill="F3F4F6"/>
            <w:tcMar>
              <w:top w:w="120" w:type="dxa"/>
              <w:start w:w="120" w:type="dxa"/>
              <w:bottom w:w="120" w:type="dxa"/>
              <w:end w:w="120" w:type="dxa"/>
            </w:tcMar>
          </w:tcPr>
          <w:p>
            <w:pPr>
              <w:spacing w:after="0"/>
            </w:pPr>
            <w:r>
              <w:rPr>
                <w:rFonts w:ascii="Aptos" w:hAnsi="Aptos" w:eastAsia="Aptos"/>
                <w:color w:val="000000"/>
                <w:sz w:val="21"/>
              </w:rPr>
              <w:t>[GÜN AY YIL]</w:t>
            </w:r>
          </w:p>
        </w:tc>
      </w:tr>
      <w:tr>
        <w:tc>
          <w:tcPr>
            <w:tcW w:type="dxa" w:w="2376"/>
            <w:vAlign w:val="center"/>
            <w:shd w:fill="EAF2F8"/>
            <w:tcMar>
              <w:top w:w="120" w:type="dxa"/>
              <w:start w:w="120" w:type="dxa"/>
              <w:bottom w:w="120" w:type="dxa"/>
              <w:end w:w="120" w:type="dxa"/>
            </w:tcMar>
          </w:tcPr>
          <w:p>
            <w:pPr>
              <w:spacing w:after="0"/>
            </w:pPr>
            <w:r>
              <w:rPr>
                <w:rFonts w:ascii="Aptos" w:hAnsi="Aptos" w:eastAsia="Aptos"/>
                <w:b/>
                <w:color w:val="000000"/>
                <w:sz w:val="21"/>
              </w:rPr>
              <w:t>Konu</w:t>
            </w:r>
          </w:p>
        </w:tc>
        <w:tc>
          <w:tcPr>
            <w:tcW w:type="dxa" w:w="7272"/>
            <w:vAlign w:val="center"/>
            <w:shd w:fill="FFFFFF"/>
            <w:tcMar>
              <w:top w:w="120" w:type="dxa"/>
              <w:start w:w="120" w:type="dxa"/>
              <w:bottom w:w="120" w:type="dxa"/>
              <w:end w:w="120" w:type="dxa"/>
            </w:tcMar>
          </w:tcPr>
          <w:p>
            <w:pPr>
              <w:spacing w:after="0"/>
            </w:pPr>
            <w:r>
              <w:rPr>
                <w:rFonts w:ascii="Aptos" w:hAnsi="Aptos" w:eastAsia="Aptos"/>
                <w:color w:val="000000"/>
                <w:sz w:val="21"/>
              </w:rPr>
              <w:t>İİK m.89/1 birinci haciz ihbarnamesine süresinde itirazdır</w:t>
            </w:r>
          </w:p>
        </w:tc>
      </w:tr>
    </w:tbl>
    <w:p>
      <w:pPr>
        <w:spacing w:after="0"/>
      </w:pPr>
    </w:p>
    <w:p>
      <w:pPr>
        <w:pStyle w:val="Heading1"/>
      </w:pPr>
      <w:r>
        <w:t>Açıklamalar</w:t>
      </w:r>
    </w:p>
    <w:p>
      <w:pPr>
        <w:ind w:left="259" w:hanging="259"/>
      </w:pPr>
      <w:r>
        <w:rPr>
          <w:rFonts w:ascii="Aptos" w:hAnsi="Aptos" w:eastAsia="Aptos"/>
          <w:b/>
          <w:color w:val="000000"/>
          <w:sz w:val="22"/>
        </w:rPr>
        <w:t xml:space="preserve">1. </w:t>
      </w:r>
      <w:r>
        <w:rPr>
          <w:rFonts w:ascii="Aptos" w:hAnsi="Aptos" w:eastAsia="Aptos"/>
          <w:color w:val="000000"/>
          <w:sz w:val="22"/>
        </w:rPr>
        <w:t>Yukarıda numarası belirtilen icra dosyasından düzenlenen birinci haciz ihbarnamesi üçüncü kişiye [TEBLİĞ TARİHİ] tarihinde tebliğ edilmiştir.</w:t>
      </w:r>
    </w:p>
    <w:p>
      <w:pPr>
        <w:ind w:left="259" w:hanging="259"/>
      </w:pPr>
      <w:r>
        <w:rPr>
          <w:rFonts w:ascii="Aptos" w:hAnsi="Aptos" w:eastAsia="Aptos"/>
          <w:b/>
          <w:color w:val="000000"/>
          <w:sz w:val="22"/>
        </w:rPr>
        <w:t xml:space="preserve">2. </w:t>
      </w:r>
      <w:r>
        <w:rPr>
          <w:rFonts w:ascii="Aptos" w:hAnsi="Aptos" w:eastAsia="Aptos"/>
          <w:color w:val="000000"/>
          <w:sz w:val="22"/>
        </w:rPr>
        <w:t>Üçüncü kişinin takip borçlusuna karşı ihbarnamede belirtilen nitelikte mevcut bir borcu bulunmamaktadır ve takip borçlusuna ait haczedilebilir bir mal veya hak üçüncü kişinin elinde değildir. Dosyaya uymayan seçenek silinmelidir.</w:t>
      </w:r>
    </w:p>
    <w:p>
      <w:pPr>
        <w:ind w:left="259" w:hanging="259"/>
      </w:pPr>
      <w:r>
        <w:rPr>
          <w:rFonts w:ascii="Aptos" w:hAnsi="Aptos" w:eastAsia="Aptos"/>
          <w:b/>
          <w:color w:val="000000"/>
          <w:sz w:val="22"/>
        </w:rPr>
        <w:t xml:space="preserve">3. </w:t>
      </w:r>
      <w:r>
        <w:rPr>
          <w:rFonts w:ascii="Aptos" w:hAnsi="Aptos" w:eastAsia="Aptos"/>
          <w:color w:val="000000"/>
          <w:sz w:val="22"/>
        </w:rPr>
        <w:t>Varsa taraflar arasındaki ilişkinin gerçek kapsamı [SÖZLEŞME FATURA CARİ HESAP DEKONT ENVANTER KAYDI] ile açıklanmaktadır. İtirazın kayda alınması için belge sunulması kanunda zorunlu tutulmamakla birlikte mevcut kayıtlar açıklamayı somutlaştırmak amacıyla eklenebilir.</w:t>
      </w:r>
    </w:p>
    <w:p>
      <w:pPr>
        <w:ind w:left="259" w:hanging="259"/>
      </w:pPr>
      <w:r>
        <w:rPr>
          <w:rFonts w:ascii="Aptos" w:hAnsi="Aptos" w:eastAsia="Aptos"/>
          <w:b/>
          <w:color w:val="000000"/>
          <w:sz w:val="22"/>
        </w:rPr>
        <w:t xml:space="preserve">4. </w:t>
      </w:r>
      <w:r>
        <w:rPr>
          <w:rFonts w:ascii="Aptos" w:hAnsi="Aptos" w:eastAsia="Aptos"/>
          <w:color w:val="000000"/>
          <w:sz w:val="22"/>
        </w:rPr>
        <w:t>İİK m.89 uyarınca itiraz birinci haciz ihbarnamesinin tebliğinden itibaren yedi gün içinde, haciz ihbarnamesini gönderen icra dairesine yapılmaktadır. İşbu dilekçe kanuni süre içinde sunulmaktadır.</w:t>
      </w:r>
    </w:p>
    <w:p>
      <w:pPr>
        <w:pStyle w:val="Heading1"/>
      </w:pPr>
      <w:r>
        <w:t>İtiraz Sebebi Seçenekleri</w:t>
      </w:r>
    </w:p>
    <w:p>
      <w:pPr>
        <w:pStyle w:val="ListBullet"/>
      </w:pPr>
      <w:r>
        <w:rPr>
          <w:rFonts w:ascii="Aptos" w:hAnsi="Aptos" w:eastAsia="Aptos"/>
          <w:color w:val="000000"/>
          <w:sz w:val="21"/>
        </w:rPr>
        <w:t>Takip borçlusuna borç bulunmaması</w:t>
      </w:r>
    </w:p>
    <w:p>
      <w:pPr>
        <w:pStyle w:val="ListBullet"/>
      </w:pPr>
      <w:r>
        <w:rPr>
          <w:rFonts w:ascii="Aptos" w:hAnsi="Aptos" w:eastAsia="Aptos"/>
          <w:color w:val="000000"/>
          <w:sz w:val="21"/>
        </w:rPr>
        <w:t>Takip borçlusuna ait mal veya hakkın üçüncü kişinin elinde bulunmaması</w:t>
      </w:r>
    </w:p>
    <w:p>
      <w:pPr>
        <w:pStyle w:val="ListBullet"/>
      </w:pPr>
      <w:r>
        <w:rPr>
          <w:rFonts w:ascii="Aptos" w:hAnsi="Aptos" w:eastAsia="Aptos"/>
          <w:color w:val="000000"/>
          <w:sz w:val="21"/>
        </w:rPr>
        <w:t>Borcun ihbarnamenin tebliğinden önce ödenmiş olması</w:t>
      </w:r>
    </w:p>
    <w:p>
      <w:pPr>
        <w:pStyle w:val="ListBullet"/>
      </w:pPr>
      <w:r>
        <w:rPr>
          <w:rFonts w:ascii="Aptos" w:hAnsi="Aptos" w:eastAsia="Aptos"/>
          <w:color w:val="000000"/>
          <w:sz w:val="21"/>
        </w:rPr>
        <w:t>Malın tüketilmiş veya üçüncü kişinin kusuru olmadan yok olmuş olması</w:t>
      </w:r>
    </w:p>
    <w:p>
      <w:pPr>
        <w:pStyle w:val="ListBullet"/>
      </w:pPr>
      <w:r>
        <w:rPr>
          <w:rFonts w:ascii="Aptos" w:hAnsi="Aptos" w:eastAsia="Aptos"/>
          <w:color w:val="000000"/>
          <w:sz w:val="21"/>
        </w:rPr>
        <w:t>Malın takip borçlusuna ait olmaması veya üçüncü kişiye rehnedilmiş olması</w:t>
      </w:r>
    </w:p>
    <w:p>
      <w:pPr>
        <w:pStyle w:val="ListBullet"/>
      </w:pPr>
      <w:r>
        <w:rPr>
          <w:rFonts w:ascii="Aptos" w:hAnsi="Aptos" w:eastAsia="Aptos"/>
          <w:color w:val="000000"/>
          <w:sz w:val="21"/>
        </w:rPr>
        <w:t>Alacağın daha önce takip borçlusuna veya onun gösterdiği yere ödenmiş olması</w:t>
      </w:r>
    </w:p>
    <w:p>
      <w:pPr>
        <w:pStyle w:val="Heading1"/>
      </w:pPr>
      <w:r>
        <w:t>Hukuki Neden</w:t>
      </w:r>
    </w:p>
    <w:p>
      <w:r>
        <w:t>2004 sayılı İcra ve İflas Kanunu m.89 ve somut olaya uygulanacak diğer mevzuat.</w:t>
      </w:r>
    </w:p>
    <w:p>
      <w:pPr>
        <w:pStyle w:val="Heading1"/>
      </w:pPr>
      <w:r>
        <w:t>Sonuç ve İstem</w:t>
      </w:r>
    </w:p>
    <w:p>
      <w:r>
        <w:t>Yukarıda açıklanan nedenlerle İİK m.89/1 birinci haciz ihbarnamesine kanuni süresi içinde itiraz ettiğimizin dosyaya kaydedilmesini ve dosya işlemlerinin bu itiraz gözetilerek yürütülmesini arz ederiz. [TARİH]</w:t>
      </w:r>
    </w:p>
    <w:p>
      <w:pPr>
        <w:spacing w:before="280"/>
        <w:jc w:val="right"/>
      </w:pPr>
      <w:r>
        <w:rPr>
          <w:rFonts w:ascii="Aptos" w:hAnsi="Aptos" w:eastAsia="Aptos"/>
          <w:b/>
          <w:color w:val="000000"/>
          <w:sz w:val="22"/>
        </w:rPr>
        <w:t>Üçüncü Kişi Vekili</w:t>
        <w:br/>
        <w:t>[AD SOYAD UNVAN]</w:t>
        <w:br/>
        <w:t>[İMZA]</w:t>
      </w:r>
    </w:p>
    <w:p>
      <w:pPr>
        <w:pStyle w:val="Heading1"/>
      </w:pPr>
      <w:r>
        <w:t>Ekler</w:t>
      </w:r>
    </w:p>
    <w:p>
      <w:pPr>
        <w:pStyle w:val="ListBullet"/>
      </w:pPr>
      <w:r>
        <w:rPr>
          <w:rFonts w:ascii="Aptos" w:hAnsi="Aptos" w:eastAsia="Aptos"/>
          <w:color w:val="000000"/>
          <w:sz w:val="21"/>
        </w:rPr>
        <w:t>Birinci haciz ihbarnamesi ve tebliğ kaydı</w:t>
      </w:r>
    </w:p>
    <w:p>
      <w:pPr>
        <w:pStyle w:val="ListBullet"/>
      </w:pPr>
      <w:r>
        <w:rPr>
          <w:rFonts w:ascii="Aptos" w:hAnsi="Aptos" w:eastAsia="Aptos"/>
          <w:color w:val="000000"/>
          <w:sz w:val="21"/>
        </w:rPr>
        <w:t>Varsa itiraz sebebini açıklayan sözleşme cari hesap fatura dekont envanter rehin veya ödeme kaydı</w:t>
      </w:r>
    </w:p>
    <w:p>
      <w:pPr>
        <w:pStyle w:val="ListBullet"/>
      </w:pPr>
      <w:r>
        <w:rPr>
          <w:rFonts w:ascii="Aptos" w:hAnsi="Aptos" w:eastAsia="Aptos"/>
          <w:color w:val="000000"/>
          <w:sz w:val="21"/>
        </w:rPr>
        <w:t>Vekil veya tüzel kişi temsilcisi tarafından sunuluyorsa yetki belgesi</w:t>
      </w:r>
    </w:p>
    <w:p>
      <w:r>
        <w:br w:type="page"/>
      </w:r>
    </w:p>
    <w:p>
      <w:pPr>
        <w:pStyle w:val="Heading1"/>
      </w:pPr>
      <w:r>
        <w:t>Kullanım ve Süre Kontrolü</w:t>
      </w:r>
    </w:p>
    <w:p>
      <w:pPr>
        <w:ind w:left="259" w:hanging="259"/>
      </w:pPr>
      <w:r>
        <w:rPr>
          <w:rFonts w:ascii="Aptos" w:hAnsi="Aptos" w:eastAsia="Aptos"/>
          <w:b/>
          <w:color w:val="000000"/>
          <w:sz w:val="22"/>
        </w:rPr>
        <w:t xml:space="preserve">1. </w:t>
      </w:r>
      <w:r>
        <w:rPr>
          <w:rFonts w:ascii="Aptos" w:hAnsi="Aptos" w:eastAsia="Aptos"/>
          <w:color w:val="000000"/>
          <w:sz w:val="22"/>
        </w:rPr>
        <w:t>Tebliğ tarihini tebligat zarfı mazbatası veya elektronik tebligat kaydından doğrulayın.</w:t>
      </w:r>
    </w:p>
    <w:p>
      <w:pPr>
        <w:ind w:left="259" w:hanging="259"/>
      </w:pPr>
      <w:r>
        <w:rPr>
          <w:rFonts w:ascii="Aptos" w:hAnsi="Aptos" w:eastAsia="Aptos"/>
          <w:b/>
          <w:color w:val="000000"/>
          <w:sz w:val="22"/>
        </w:rPr>
        <w:t xml:space="preserve">2. </w:t>
      </w:r>
      <w:r>
        <w:rPr>
          <w:rFonts w:ascii="Aptos" w:hAnsi="Aptos" w:eastAsia="Aptos"/>
          <w:color w:val="000000"/>
          <w:sz w:val="22"/>
        </w:rPr>
        <w:t>Yedi günlük süre dolmadan haciz ihbarnamesini gönderen icra dairesine başvurun.</w:t>
      </w:r>
    </w:p>
    <w:p>
      <w:pPr>
        <w:ind w:left="259" w:hanging="259"/>
      </w:pPr>
      <w:r>
        <w:rPr>
          <w:rFonts w:ascii="Aptos" w:hAnsi="Aptos" w:eastAsia="Aptos"/>
          <w:b/>
          <w:color w:val="000000"/>
          <w:sz w:val="22"/>
        </w:rPr>
        <w:t xml:space="preserve">3. </w:t>
      </w:r>
      <w:r>
        <w:rPr>
          <w:rFonts w:ascii="Aptos" w:hAnsi="Aptos" w:eastAsia="Aptos"/>
          <w:color w:val="000000"/>
          <w:sz w:val="22"/>
        </w:rPr>
        <w:t>İtiraz sebebini dosyanın gerçek durumuna göre seçin ve birbiriyle çelişen seçenekleri metinden çıkarın.</w:t>
      </w:r>
    </w:p>
    <w:p>
      <w:pPr>
        <w:ind w:left="259" w:hanging="259"/>
      </w:pPr>
      <w:r>
        <w:rPr>
          <w:rFonts w:ascii="Aptos" w:hAnsi="Aptos" w:eastAsia="Aptos"/>
          <w:b/>
          <w:color w:val="000000"/>
          <w:sz w:val="22"/>
        </w:rPr>
        <w:t xml:space="preserve">4. </w:t>
      </w:r>
      <w:r>
        <w:rPr>
          <w:rFonts w:ascii="Aptos" w:hAnsi="Aptos" w:eastAsia="Aptos"/>
          <w:color w:val="000000"/>
          <w:sz w:val="22"/>
        </w:rPr>
        <w:t>Başvurunun dosyaya işlendiğini gösteren evrak numarasını veya UYAP kaydını saklayın.</w:t>
      </w:r>
    </w:p>
    <w:p>
      <w:pPr>
        <w:ind w:left="259" w:hanging="259"/>
      </w:pPr>
      <w:r>
        <w:rPr>
          <w:rFonts w:ascii="Aptos" w:hAnsi="Aptos" w:eastAsia="Aptos"/>
          <w:b/>
          <w:color w:val="000000"/>
          <w:sz w:val="22"/>
        </w:rPr>
        <w:t xml:space="preserve">5. </w:t>
      </w:r>
      <w:r>
        <w:rPr>
          <w:rFonts w:ascii="Aptos" w:hAnsi="Aptos" w:eastAsia="Aptos"/>
          <w:color w:val="000000"/>
          <w:sz w:val="22"/>
        </w:rPr>
        <w:t>Birinci ihbarnameye süresinde itiraz edilmemişse bu örneği kendiliğinden kullanmayın. İkinci ve üçüncü haciz ihbarnamelerinin süreleri ve sonuçları ayrıdır.</w:t>
      </w:r>
    </w:p>
    <w:p>
      <w:pPr>
        <w:ind w:left="259" w:hanging="259"/>
      </w:pPr>
      <w:r>
        <w:rPr>
          <w:rFonts w:ascii="Aptos" w:hAnsi="Aptos" w:eastAsia="Aptos"/>
          <w:b/>
          <w:color w:val="000000"/>
          <w:sz w:val="22"/>
        </w:rPr>
        <w:t xml:space="preserve">6. </w:t>
      </w:r>
      <w:r>
        <w:rPr>
          <w:rFonts w:ascii="Aptos" w:hAnsi="Aptos" w:eastAsia="Aptos"/>
          <w:color w:val="000000"/>
          <w:sz w:val="22"/>
        </w:rPr>
        <w:t>Gerçeğe aykırı itiraz halinde alacaklının İİK m.89 uyarınca tazminat ve alacak talebinde bulunabileceğini dikkate alın.</w:t>
      </w:r>
    </w:p>
    <w:p>
      <w:pPr>
        <w:pStyle w:val="Heading1"/>
      </w:pPr>
      <w:r>
        <w:t>İkinci ve Üçüncü İhbarname Uyarısı</w:t>
      </w:r>
    </w:p>
    <w:p>
      <w:r>
        <w:t>Birinci haciz ihbarnamesine yedi gün içinde itiraz edilmezse ikinci haciz ihbarnamesi gönderilir ve bu ikinci ihbarnameye de tebliğden itibaren yedi gün içinde itiraz edilebilir. İkinci ihbarnameye de süresinde itiraz edilmezse üçüncü bildirim aşamasında on beş gün içinde ödeme veya teslim ya da menfi tespit davası açılması gündeme gelir; dava açıldığına ilişkin belgenin bildirimden itibaren yirmi gün içinde ilgili icra dairesine verilmesi gerekir.</w:t>
      </w:r>
    </w:p>
    <w:p>
      <w:pPr>
        <w:spacing w:before="200"/>
      </w:pPr>
      <w:r>
        <w:rPr>
          <w:rFonts w:ascii="Aptos" w:hAnsi="Aptos" w:eastAsia="Aptos"/>
          <w:color w:val="000000"/>
          <w:sz w:val="18"/>
        </w:rPr>
        <w:t xml:space="preserve">Hukuk kontrolü 21 Eylül 2026. Resmî kaynak: </w:t>
      </w:r>
      <w:r>
        <w:rPr>
          <w:rFonts w:ascii="Aptos" w:hAnsi="Aptos" w:eastAsia="Aptos"/>
          <w:color w:val="17365D"/>
          <w:sz w:val="18"/>
        </w:rPr>
        <w:t>https://iidb.adalet.gov.tr/Resimler/SayfaDokuman/2112020101941icra_kanun.pdf</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00"/>
      <w:contextualSpacing/>
    </w:pPr>
    <w:rPr>
      <w:rFonts w:asciiTheme="majorHAnsi" w:eastAsiaTheme="majorEastAsia" w:hAnsiTheme="majorHAnsi" w:cstheme="majorBidi" w:ascii="Aptos" w:hAnsi="Apto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