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Çalışma İzni Ret Kararına İtiraz Dilekçesi</w:t>
      </w:r>
    </w:p>
    <w:p>
      <w:pPr>
        <w:jc w:val="center"/>
      </w:pPr>
      <w:r>
        <w:rPr>
          <w:i/>
        </w:rPr>
        <w:t>6735 sayılı Kanun m.21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Çalışma ve Sosyal Güvenlik Bakanlığı Uluslararası İşgücü Genel Müdürlüğü; e-İzin sistemi üzerinden</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6735 sayılı Uluslararası İşgücü Kanunu 21 uyarınca çalışma izni verilmesi, uzatılması, iptali veya sonlandırılması kararına tebliğ tarihinden itibaren otuz gün içinde itiraz edilir. İtiraz açıklaması ve belgeler e-İzin sistemine yüklenir.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6735 sayılı Kanun m.21</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itirazın süresinde kabul edilerek dosyanın yeniden incelenmesi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ÇALIŞMA VE SOSYAL GÜVENLİK BAKANLIĞI ULUSLARARASI İŞGÜCÜ GENEL MÜDÜRLÜĞÜ; E-İZİN SİSTEMİ ÜZERİNDEN</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çalışma izni ret kararına itiraz dilekçesi kapsamında, aşağıda açıklanan somut olay ve ekli belgelere dayanılarak itirazın süresinde kabul edilerek dosyanın yeniden incelenmesi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Ret kararı, başvuru dosyasında mevcut belgeyi görmezden gelmiş, yanlış çalışan-işveren verisi kullanmış veya giderilebilir eksikliği nihai engel olarak değerlendirmiştir. Bu sonuç Ek-[numara] belgesi ile doğrulanmaktadır. Belgenin tarihi, düzenleyeni ve olaya bağlantısı aşağıdaki delil listesinde ayrıca gösterilmiştir.</w:t>
      </w:r>
    </w:p>
    <w:p>
      <w:r/>
    </w:p>
    <w:p>
      <w:r>
        <w:t>4. Hukuki değerlendirme</w:t>
      </w:r>
    </w:p>
    <w:p>
      <w:r>
        <w:t>Bakanlık çalışma izni başvurusunu 6735 sayılı Kanun 9'daki ret sebepleri ve güncel değerlendirme kriterleriyle sınırlı inceler. Ret gerekçesi iş, işveren, ücret, yabancının niteliği veya eksik belgeye dayanıyorsa itiraz, ilgili kriterin somut veriyle nasıl karşılandığını göstermeli; sonradan sunulan belge gerçek ret sebebini ortadan kaldırmalıdır. Somut olayda [belge ve olgu] bu hükmün aradığı koşulu karşılamaktadır. Karşılaştırma, varsayıma değil dilekçe ekindeki tarihli kayıtlara dayanmaktadır.</w:t>
      </w:r>
    </w:p>
    <w:p>
      <w:r/>
    </w:p>
    <w:p>
      <w:r>
        <w:t>5. Süre ve yetki</w:t>
      </w:r>
    </w:p>
    <w:p>
      <w:r>
        <w:t>6735 sayılı Uluslararası İşgücü Kanunu 21 uyarınca çalışma izni verilmesi, uzatılması, iptali veya sonlandırılması kararına tebliğ tarihinden itibaren otuz gün içinde itiraz edilir. İtiraz açıklaması ve belgeler e-İzin sistemine yüklenir. Başvuru Çalışma ve Sosyal Güvenlik Bakanlığı Uluslararası İşgücü Genel Müdürlüğü; e-İzin sistemi üzerinden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Bakanlık çalışma izni başvurusunu 6735 sayılı Kanun 9'daki ret sebepleri ve güncel değerlendirme kriterleriyle sınırlı inceler ve ilgili ikincil mevzuat.</w:t>
      </w:r>
    </w:p>
    <w:p>
      <w:r/>
    </w:p>
    <w:p>
      <w:pPr>
        <w:jc w:val="center"/>
      </w:pPr>
      <w:r>
        <w:rPr>
          <w:b/>
        </w:rPr>
        <w:t>DELİLLER</w:t>
      </w:r>
    </w:p>
    <w:p>
      <w:r>
        <w:t>1. Çalışma izni başvurusu ve ret kararı</w:t>
      </w:r>
    </w:p>
    <w:p>
      <w:r>
        <w:t>2. Yabancı ve işveren e-İzin kayıtları</w:t>
      </w:r>
    </w:p>
    <w:p>
      <w:r>
        <w:t>3. Diploma, mesleki yeterlik ve ücret belgeleri</w:t>
      </w:r>
    </w:p>
    <w:p>
      <w:r>
        <w:t>4. İstihdam, bilanço ve SGK kayıtları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İtirazın süresinde kabul edilerek dosyanın yeniden incelenmesi,</w:t>
      </w:r>
    </w:p>
    <w:p>
      <w:r>
        <w:t>2. Ret gerekçesindeki maddi ve hukuki hatanın giderilmesi,</w:t>
      </w:r>
    </w:p>
    <w:p>
      <w:r>
        <w:t>3. Şartlar sağlandığından çalışma izni verilmesi,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https://www.mevzuat.gov.tr/mevzuatmetin/1.5.6735.pdf</w:t>
      </w:r>
    </w:p>
    <w:p>
      <w:r>
        <w:t>https://calismaizni.csgb.gov.tr/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Çalışma İzni Ret Kararına İtiraz Dilekçesi</dc:title>
  <dc:subject>6735 sayılı Kanun m.21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