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Sürücü Belgesinin Geri Alınması İşlemine İtiraz Dilekçesi</w:t>
      </w:r>
    </w:p>
    <w:p>
      <w:pPr>
        <w:jc w:val="center"/>
      </w:pPr>
      <w:r>
        <w:rPr>
          <w:i/>
        </w:rPr>
        <w:t>2918 sayılı Kanun m.48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Sürücü belgesini geçici olarak geri alan trafik biriminin bulunduğu yer sulh ceza hâkimliği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5326 sayılı Kabahatler Kanunu 27 uyarınca, 2918 sayılı Kanun 48 kapsamında idari para cezası ve sürücü belgesi geri alma tutanağına karşı tebliğ veya tefhim tarihinden itibaren on beş gün içinde başvurulur. Mücbir sebep kalktıktan sonra yedi gün içinde eski hâle getirme istenebilir.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2918 sayılı Kanun m.48</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idari para cezası ile geri alma işleminin birlikte incelenmesi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SÜRÜCÜ BELGESİNİ GEÇİCİ OLARAK GERİ ALAN TRAFİK BİRİMİNİN BULUNDUĞU YER SULH CEZA HÂKİMLİĞİ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sürücü belgesinin geri alınması işlemine itiraz dilekçesi kapsamında, aşağıda açıklanan somut olay ve ekli belgelere dayanılarak idari para cezası ile geri alma işleminin birlikte incelenmesi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Geri alma tutanağı yanlış kişi veya ihlal bendine dayanmış, ölçüm usulü bozulmuş, kalibrasyon belgesiz kalmış ya da önceki ihlal sayısı ve süre hesabı hatalı kurulmuştur. Bu sonuç Ek-[numara] belgesi ile doğrulanmaktadır. Belgenin tarihi, düzenleyeni ve olaya bağlantısı aşağıdaki delil listesinde ayrıca gösterilmiştir.</w:t>
      </w:r>
    </w:p>
    <w:p>
      <w:r/>
    </w:p>
    <w:p>
      <w:r>
        <w:t>4. Hukuki değerlendirme</w:t>
      </w:r>
    </w:p>
    <w:p>
      <w:r>
        <w:t>2918 sayılı Kanun 48, alkol, uyuşturucu-uyarıcı madde ve teknik cihazı kabul etmeme hâllerini ayrı ayrı düzenler. İtiraz; tutanak saati, cihazın geçerli kalibrasyonu, ölçüm usulü, sağlık kuruluşu sonucu, sürücünün kimliği ve önceki ihlal kaydı üzerinden kurulmalıdır. Uyuşmazlık Mahkemesinin 2026/75 E., 2026/105 K. kararı da geçici geri alma işleminin adli yargıda inceleneceğini kabul eder. Somut olayda [belge ve olgu] bu hükmün aradığı koşulu karşılamaktadır. Karşılaştırma, varsayıma değil dilekçe ekindeki tarihli kayıtlara dayanmaktadır.</w:t>
      </w:r>
    </w:p>
    <w:p>
      <w:r/>
    </w:p>
    <w:p>
      <w:r>
        <w:t>5. Süre ve yetki</w:t>
      </w:r>
    </w:p>
    <w:p>
      <w:r>
        <w:t>5326 sayılı Kabahatler Kanunu 27 uyarınca, 2918 sayılı Kanun 48 kapsamında idari para cezası ve sürücü belgesi geri alma tutanağına karşı tebliğ veya tefhim tarihinden itibaren on beş gün içinde başvurulur. Mücbir sebep kalktıktan sonra yedi gün içinde eski hâle getirme istenebilir. Başvuru Sürücü belgesini geçici olarak geri alan trafik biriminin bulunduğu yer sulh ceza hâkimliği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2918 sayılı Kanun 48, alkol, uyuşturucu-uyarıcı madde ve teknik cihazı kabul etmeme hâllerini ayrı ayrı düzenler ve ilgili ikincil mevzuat.</w:t>
      </w:r>
    </w:p>
    <w:p>
      <w:r/>
    </w:p>
    <w:p>
      <w:pPr>
        <w:jc w:val="center"/>
      </w:pPr>
      <w:r>
        <w:rPr>
          <w:b/>
        </w:rPr>
        <w:t>DELİLLER</w:t>
      </w:r>
    </w:p>
    <w:p>
      <w:r>
        <w:t>1. Trafik idari para cezası ve geri alma tutanağı</w:t>
      </w:r>
    </w:p>
    <w:p>
      <w:r>
        <w:t>2. Tebliğ veya tefhim belgesi</w:t>
      </w:r>
    </w:p>
    <w:p>
      <w:r>
        <w:t>3. Alkolmetre çıktı ve kalibrasyon kaydı</w:t>
      </w:r>
    </w:p>
    <w:p>
      <w:r>
        <w:t>4. Sağlık kuruluşu raporu, kamera ve konum delilleri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İdari para cezası ile geri alma işleminin birlikte incelenmesi,</w:t>
      </w:r>
    </w:p>
    <w:p>
      <w:r>
        <w:t>2. Hukuka aykırı tutanak ve yaptırımın kaldırılması,</w:t>
      </w:r>
    </w:p>
    <w:p>
      <w:r>
        <w:t>3. Sürücü belgesinin iadesi için ilgili trafik birimine yazı yazılması,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https://www.mevzuat.gov.tr/mevzuatmetin/1.5.2918.pdf</w:t>
      </w:r>
    </w:p>
    <w:p>
      <w:r>
        <w:t>https://www.egm.gov.tr/trafik</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Sürücü Belgesinin Geri Alınması İşlemine İtiraz Dilekçesi</dc:title>
  <dc:subject>2918 sayılı Kanun m.48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