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Anonim Şirkette Özel Denetim Talep Dilekçesi</w:t>
      </w:r>
    </w:p>
    <w:p>
      <w:pPr>
        <w:jc w:val="center"/>
      </w:pPr>
      <w:r>
        <w:rPr>
          <w:i/>
        </w:rPr>
        <w:t>TTK m.438-440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Şirket merkezinin bulunduğu yer asliye ticaret mahkemesi; öncesinde anonim şirket genel kurulu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Genel kurul istemi kabul ederse şirket veya her pay sahibi otuz gün içinde mahkemeden özel denetçi atanmasını isteyebilir. İstem reddedilirse sermayenin en az onda birini, halka açık şirkette yirmide birini oluşturan veya paylarının itibari değeri toplamı en az bir milyon Türk lirası olan pay sahipleri üç ay içinde başvurur.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TTK m.438-440</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özel denetim konusunun somut olaylarla belirlenmesi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ŞİRKET MERKEZİNİN BULUNDUĞU YER ASLİYE TİCARET MAHKEMESİ; ÖNCESİNDE ANONİM ŞİRKET GENEL KURULU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anonim şirkette özel denetim talep dilekçesi kapsamında, aşağıda açıklanan somut olay ve ekli belgelere dayanılarak özel denetim konusunun somut olaylarla belirlenmesi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İlişkili taraf işlemi, varlık devri, gider, sermaye hareketi veya yönetici menfaati hakkında bilgi alma hakkı kullanılmış; cevap verilmemiş ya da çelişkili belgeler sunulmuştur. Bu sonuç Ek-[numara] belgesi ile doğrulanmaktadır. Belgenin tarihi, düzenleyeni ve olaya bağlantısı aşağıdaki delil listesinde ayrıca gösterilmiştir.</w:t>
      </w:r>
    </w:p>
    <w:p>
      <w:r/>
    </w:p>
    <w:p>
      <w:r>
        <w:t>4. Hukuki değerlendirme</w:t>
      </w:r>
    </w:p>
    <w:p>
      <w:r>
        <w:t>TTK 438-440 uyarınca her pay sahibi, pay sahipliği haklarının kullanılabilmesi için gerekli ve bilgi alma veya inceleme hakkı daha önce kullanılmışsa belirli olayların özel denetimle açıklanmasını gündemde olmasa da genel kuruldan isteyebilir. Ret hâlinde azlık, kurucu veya organların kanunu ya da esas sözleşmeyi ihlal ederek şirketi veya pay sahiplerini zarara uğrattığını ikna edici biçimde ortaya koymalıdır. Somut olayda [belge ve olgu] bu hükmün aradığı koşulu karşılamaktadır. Karşılaştırma, varsayıma değil dilekçe ekindeki tarihli kayıtlara dayanmaktadır.</w:t>
      </w:r>
    </w:p>
    <w:p>
      <w:r/>
    </w:p>
    <w:p>
      <w:r>
        <w:t>5. Süre ve yetki</w:t>
      </w:r>
    </w:p>
    <w:p>
      <w:r>
        <w:t>Genel kurul istemi kabul ederse şirket veya her pay sahibi otuz gün içinde mahkemeden özel denetçi atanmasını isteyebilir. İstem reddedilirse sermayenin en az onda birini, halka açık şirkette yirmide birini oluşturan veya paylarının itibari değeri toplamı en az bir milyon Türk lirası olan pay sahipleri üç ay içinde başvurur. Başvuru Şirket merkezinin bulunduğu yer asliye ticaret mahkemesi; öncesinde anonim şirket genel kurulu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TTK 438-440 uyarınca her pay sahibi, pay sahipliği haklarının kullanılabilmesi için gerekli ve bilgi alma veya inceleme hakkı daha önce kullanılmışsa belirli olayların özel denetimle açıklanmasını gündemde olmasa da genel kuruldan isteyebilir ve ilgili ikincil mevzuat.</w:t>
      </w:r>
    </w:p>
    <w:p>
      <w:r/>
    </w:p>
    <w:p>
      <w:pPr>
        <w:jc w:val="center"/>
      </w:pPr>
      <w:r>
        <w:rPr>
          <w:b/>
        </w:rPr>
        <w:t>DELİLLER</w:t>
      </w:r>
    </w:p>
    <w:p>
      <w:r>
        <w:t>1. Pay sahipliği ve sermaye oranı belgeleri</w:t>
      </w:r>
    </w:p>
    <w:p>
      <w:r>
        <w:t>2. Genel kurul tutanağı ve özel denetim önerisi</w:t>
      </w:r>
    </w:p>
    <w:p>
      <w:r>
        <w:t>3. Önceki bilgi alma-inceleme talepleri</w:t>
      </w:r>
    </w:p>
    <w:p>
      <w:r>
        <w:t>4. İncelenecek belirli işlemlere ait finansal kayıtlar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Özel denetim konusunun somut olaylarla belirlenmesi,</w:t>
      </w:r>
    </w:p>
    <w:p>
      <w:r>
        <w:t>2. Bağımsız uzman özel denetçi atanması,</w:t>
      </w:r>
    </w:p>
    <w:p>
      <w:r>
        <w:t>3. Şirket defter ve kayıtlarının denetçiye açılması,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https://www.mevzuat.gov.tr/mevzuatmetin/1.5.6102.pdf</w:t>
      </w:r>
    </w:p>
    <w:p>
      <w:r>
        <w:t>https://ticaret.gov.tr/ic-ticaret/mevzuat/sirketler-ve-ticaret-sicili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Anonim Şirkette Özel Denetim Talep Dilekçesi</dc:title>
  <dc:subject>TTK m.438-440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