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Ticaret Unvanına Tecavüzün Önlenmesi İhtar Dilekçesi</w:t>
      </w:r>
    </w:p>
    <w:p>
      <w:pPr>
        <w:jc w:val="center"/>
      </w:pPr>
      <w:r>
        <w:rPr>
          <w:i/>
        </w:rPr>
        <w:t>TTK m.52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Ticaret unvanını izinsiz kullanan kişi veya işletme; sonuç alınamazsa görevli asliye ticaret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TTK 52 kapsamındaki ihtar için özel bir gün süresi yoktur. İhlal devam ederken sicil, alan adı, tabela ve tanıtım delilleri korunarak gecikmeksizin gönderilir; tazminat ve diğer talepler için somut olayın zamanaşımı ayrıca hesaplanır.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TTK m.52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tecavüz oluşturan kullanımın derhâl durdurulması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TİCARET UNVANINI İZİNSİZ KULLANAN KİŞİ VEYA İŞLETME; SONUÇ ALINAMAZSA GÖREVLİ ASLİYE TİCARET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ticaret unvanına tecavüzün önlenmesi ihtar dilekçesi kapsamında, aşağıda açıklanan somut olay ve ekli belgelere dayanılarak tecavüz oluşturan kullanımın derhâl durdurulması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Karşı taraf aynı veya ayırt edilemeyecek ölçüde benzer ibareyi unvan, işletme adı, alan adı, tabela veya fatura üzerinde kullanarak işletmeler arasında bağlantı izlenimi yaratmaktadır.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TTK 52 uyarınca ticaret unvanı ticari dürüstlüğe aykırı biçimde başkası tarafından kullanılırsa hak sahibi kullanımın tespitini ve yasaklanmasını; tescilli unvanın değiştirilmesini veya silinmesini; maddi sonucun ortadan kaldırılmasını, gerektiğinde araç ve malların imhasını, kusur varsa maddi ve manevi tazminatı isteyebilir. Koruma, tescilli unvanın ayırt edici çekirdeği ve karıştırılma olgusu üzerinden kurulur.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TTK 52 kapsamındaki ihtar için özel bir gün süresi yoktur. İhlal devam ederken sicil, alan adı, tabela ve tanıtım delilleri korunarak gecikmeksizin gönderilir; tazminat ve diğer talepler için somut olayın zamanaşımı ayrıca hesaplanır. Başvuru Ticaret unvanını izinsiz kullanan kişi veya işletme; sonuç alınamazsa görevli asliye ticaret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TTK 52 uyarınca ticaret unvanı ticari dürüstlüğe aykırı biçimde başkası tarafından kullanılırsa hak sahibi kullanımın tespitini ve yasaklanmasını; tescilli unvanın değiştirilmesini veya silinmesini; maddi sonucun ortadan kaldırılmasını, gerektiğinde araç ve malların imhasını, kusur varsa maddi ve manevi tazminatı isteyebilir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Ticaret sicili ve MERSİS kayıtları</w:t>
      </w:r>
    </w:p>
    <w:p>
      <w:r>
        <w:t>2. Türkiye Ticaret Sicili Gazetesi ilanları</w:t>
      </w:r>
    </w:p>
    <w:p>
      <w:r>
        <w:t>3. Alan adı, tabela, fatura ve reklam tespitleri</w:t>
      </w:r>
    </w:p>
    <w:p>
      <w:r>
        <w:t>4. Müşteri karışıklığı veya yanlış yönlendirme kayıtları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Tecavüz oluşturan kullanımın derhâl durdurulması,</w:t>
      </w:r>
    </w:p>
    <w:p>
      <w:r>
        <w:t>2. Tescilli unvanın değiştirilmesi veya silinmesi için işlem yapılması,</w:t>
      </w:r>
    </w:p>
    <w:p>
      <w:r>
        <w:t>3. Tabela, dijital içerik ve ticari belgelerdeki kullanımın kaldırılması,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https://www.mevzuat.gov.tr/mevzuatmetin/1.5.6102.pdf</w:t>
      </w:r>
    </w:p>
    <w:p>
      <w:r>
        <w:t>https://mersis.ticaret.gov.tr/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Ticaret Unvanına Tecavüzün Önlenmesi İhtar Dilekçesi</dc:title>
  <dc:subject>TTK m.52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