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Arial" w:hAnsi="Arial"/>
          <w:b/>
          <w:color w:val="102449"/>
          <w:sz w:val="30"/>
        </w:rPr>
        <w:t>ADLI KONTROL KARARINA İTIRAZ VE KALDIRMA DILEKÇESI</w:t>
      </w:r>
    </w:p>
    <w:p>
      <w:pPr>
        <w:jc w:val="center"/>
      </w:pPr>
      <w:r>
        <w:rPr>
          <w:b/>
          <w:color w:val="C9A24D"/>
          <w:sz w:val="17"/>
        </w:rPr>
        <w:t>DÜZENLENEBİLİR WORD ŞABLONU • HUKUK KONTROLÜ: 2 Eylül 2026</w:t>
      </w:r>
    </w:p>
    <w:p>
      <w:pPr>
        <w:jc w:val="center"/>
      </w:pPr>
      <w:r>
        <w:rPr>
          <w:b/>
          <w:sz w:val="23"/>
        </w:rPr>
        <w:t>KARARI VEREN HÂKIMLIK VEYA MAHKEMEYE SUNULUR SAYIN HÂKİMLİĞİNE / MAKAMINA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6803"/>
      </w:tblGrid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İTİRAZ EDEN ŞÜPHELİ/SANIK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[AD SOYAD / T.C. KİMLİK NO / ADRES]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KAMU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[AD SOYAD veya UNVAN / T.C.-VKN / ADRES]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VEKİLİ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[VARSA AVUKAT ADI, BARO-SİCİL, ADRES]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DOSYA NO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[ESAS / İCRA / SORUŞTURMA / KARAR NUMARASI]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KONU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Adli kontrol tedbirinin kaldırılması; ikincil olarak ölçülü biçimde değiştirilmesi istemidir.</w:t>
            </w:r>
          </w:p>
        </w:tc>
      </w:tr>
    </w:tbl>
    <w:p>
      <w:pPr>
        <w:pStyle w:val="Heading1"/>
      </w:pPr>
      <w:r>
        <w:t>AÇIKLAMALAR</w:t>
      </w:r>
    </w:p>
    <w:p>
      <w:pPr/>
      <w:r>
        <w:rPr>
          <w:b/>
        </w:rPr>
        <w:t xml:space="preserve">1. </w:t>
      </w:r>
      <w:r>
        <w:t>Bu başvuru cMK m.109-111 uyarınca adli kontrol, tutuklamaya alternatif ve ölçülü olmalıdır. Yurt dışı yasağı, imza, konutu terk etmeme veya güvence gibi yükümlülükler somut riskle bağlantısızsa iki haftada itiraz edilir; koşullar değişince kaldırma istenir.</w:t>
      </w:r>
    </w:p>
    <w:p>
      <w:pPr/>
      <w:r>
        <w:rPr>
          <w:b/>
        </w:rPr>
        <w:t xml:space="preserve">2. </w:t>
      </w:r>
      <w:r>
        <w:t>[HÂKİMLİK/MAHKEME] [TARİH] tarihinde [YÜKÜMLÜLÜK] adli kontrolüne karar verdi.</w:t>
      </w:r>
    </w:p>
    <w:p>
      <w:pPr/>
      <w:r>
        <w:rPr>
          <w:b/>
        </w:rPr>
        <w:t xml:space="preserve">3. </w:t>
      </w:r>
      <w:r>
        <w:t>Tedbir [İŞ/SAĞLIK/EĞİTİM/AİLE] yaşamını [SOMUT ETKİ] biçiminde aşırı sınırlamaktadır.</w:t>
      </w:r>
    </w:p>
    <w:p>
      <w:pPr/>
      <w:r>
        <w:rPr>
          <w:b/>
        </w:rPr>
        <w:t xml:space="preserve">4. </w:t>
      </w:r>
      <w:r>
        <w:t>Kaçma veya delil karartma riskini gösteren güncel somut olgu yoktur/deliller toplanmıştır.</w:t>
      </w:r>
    </w:p>
    <w:p>
      <w:pPr/>
      <w:r>
        <w:rPr>
          <w:b/>
        </w:rPr>
        <w:t xml:space="preserve">5. </w:t>
      </w:r>
      <w:r>
        <w:t>[DAHA HAFİF TEDBİR] ile muhakeme amacı sağlanabilir.</w:t>
      </w:r>
    </w:p>
    <w:p>
      <w:pPr/>
      <w:r>
        <w:rPr>
          <w:b/>
        </w:rPr>
        <w:t xml:space="preserve">6. </w:t>
      </w:r>
      <w:r>
        <w:t>Aşağıdaki kanuni düzenlemeler somut olaya doğrudan uygulanır:</w:t>
      </w:r>
    </w:p>
    <w:p>
      <w:pPr>
        <w:ind w:left="312"/>
      </w:pPr>
      <w:r>
        <w:rPr>
          <w:b/>
          <w:color w:val="1E3A8A"/>
        </w:rPr>
        <w:t xml:space="preserve">CMK m.109: </w:t>
      </w:r>
      <w:r>
        <w:t>Tutuklama sebepleri bulunması hâlinde tutuklama yerine uygulanabilecek adli kontrol yükümlülükleri düzenlenir.</w:t>
      </w:r>
    </w:p>
    <w:p>
      <w:pPr>
        <w:ind w:left="312"/>
      </w:pPr>
      <w:r>
        <w:rPr>
          <w:b/>
          <w:color w:val="1E3A8A"/>
        </w:rPr>
        <w:t xml:space="preserve">CMK m.110: </w:t>
      </w:r>
      <w:r>
        <w:t>Adli kontrol kararını vermeye yetkili merciler ve usul düzenlenir.</w:t>
      </w:r>
    </w:p>
    <w:p>
      <w:pPr>
        <w:ind w:left="312"/>
      </w:pPr>
      <w:r>
        <w:rPr>
          <w:b/>
          <w:color w:val="1E3A8A"/>
        </w:rPr>
        <w:t xml:space="preserve">CMK m.111: </w:t>
      </w:r>
      <w:r>
        <w:t>Şüpheli veya sanığın istemi üzerine yükümlülüğün kaldırılması/değiştirilmesi düzenlenir.</w:t>
      </w:r>
    </w:p>
    <w:p>
      <w:pPr>
        <w:ind w:left="312"/>
      </w:pPr>
      <w:r>
        <w:rPr>
          <w:b/>
          <w:color w:val="1E3A8A"/>
        </w:rPr>
        <w:t xml:space="preserve">CMK m.267-268: </w:t>
      </w:r>
      <w:r>
        <w:t>İtiraz yolu ve iki haftalık süre düzenlenir.</w:t>
      </w:r>
    </w:p>
    <w:p>
      <w:pPr>
        <w:ind w:left="312"/>
      </w:pPr>
      <w:r>
        <w:rPr>
          <w:b/>
          <w:color w:val="1E3A8A"/>
        </w:rPr>
        <w:t xml:space="preserve">Anayasa m.13: </w:t>
      </w:r>
      <w:r>
        <w:t>Temel hak sınırlamasında ölçülülük gerekir.</w:t>
      </w:r>
    </w:p>
    <w:p>
      <w:pPr>
        <w:pStyle w:val="Heading1"/>
      </w:pPr>
      <w:r>
        <w:t>HUKUKİ NEDENLER</w:t>
      </w:r>
    </w:p>
    <w:p>
      <w:r>
        <w:t>CMK m.109, CMK m.110, CMK m.111, CMK m.267-268, Anayasa m.13 ve ilgili diğer mevzuat.</w:t>
      </w:r>
    </w:p>
    <w:p>
      <w:pPr>
        <w:pStyle w:val="Heading1"/>
      </w:pPr>
      <w:r>
        <w:t>DELİLLER</w:t>
      </w:r>
    </w:p>
    <w:p>
      <w:pPr/>
      <w:r>
        <w:rPr>
          <w:b/>
        </w:rPr>
        <w:t xml:space="preserve">1. </w:t>
      </w:r>
      <w:r>
        <w:t>Adli kontrol kararı</w:t>
      </w:r>
    </w:p>
    <w:p>
      <w:pPr/>
      <w:r>
        <w:rPr>
          <w:b/>
        </w:rPr>
        <w:t xml:space="preserve">2. </w:t>
      </w:r>
      <w:r>
        <w:t>Çalışma/okul/sağlık belgeleri</w:t>
      </w:r>
    </w:p>
    <w:p>
      <w:pPr/>
      <w:r>
        <w:rPr>
          <w:b/>
        </w:rPr>
        <w:t xml:space="preserve">3. </w:t>
      </w:r>
      <w:r>
        <w:t>İkamet ve aile kayıtları</w:t>
      </w:r>
    </w:p>
    <w:p>
      <w:pPr/>
      <w:r>
        <w:rPr>
          <w:b/>
        </w:rPr>
        <w:t xml:space="preserve">4. </w:t>
      </w:r>
      <w:r>
        <w:t>Seyahat/iş sözleşmesi</w:t>
      </w:r>
    </w:p>
    <w:p>
      <w:pPr/>
      <w:r>
        <w:rPr>
          <w:b/>
        </w:rPr>
        <w:t xml:space="preserve">5. </w:t>
      </w:r>
      <w:r>
        <w:t>Dosyadaki delil durumu</w:t>
      </w:r>
    </w:p>
    <w:p>
      <w:pPr/>
      <w:r>
        <w:t>Karşı tarafın ve ilgili kurumların elindeki kayıtların celbi ile hukuka uygun her türlü delil.</w:t>
      </w:r>
    </w:p>
    <w:p>
      <w:pPr>
        <w:pStyle w:val="Heading1"/>
      </w:pPr>
      <w:r>
        <w:t>SONUÇ VE İSTEM</w:t>
      </w:r>
    </w:p>
    <w:p>
      <w:r>
        <w:t>Yukarıda açıklanan nedenlerle;</w:t>
      </w:r>
    </w:p>
    <w:p>
      <w:pPr>
        <w:ind w:left="283"/>
      </w:pPr>
      <w:r>
        <w:rPr>
          <w:b/>
        </w:rPr>
        <w:t xml:space="preserve">1. </w:t>
      </w:r>
      <w:r>
        <w:t>Adli kontrol yükümlülüğünün kaldırılması,</w:t>
      </w:r>
    </w:p>
    <w:p>
      <w:pPr>
        <w:ind w:left="283"/>
      </w:pPr>
      <w:r>
        <w:rPr>
          <w:b/>
        </w:rPr>
        <w:t xml:space="preserve">2. </w:t>
      </w:r>
      <w:r>
        <w:t>Bu kabul edilmezse kapsam, sıklık veya süre yönünden hafifletilmesi,</w:t>
      </w:r>
    </w:p>
    <w:p>
      <w:pPr>
        <w:jc w:val="right"/>
      </w:pPr>
      <w:r>
        <w:t>karar verilmesini saygıyla arz ve talep ederim. [TARİH]</w:t>
      </w:r>
    </w:p>
    <w:p>
      <w:pPr>
        <w:jc w:val="right"/>
      </w:pPr>
      <w:r>
        <w:rPr>
          <w:b/>
        </w:rPr>
        <w:t>İTİRAZ EDEN ŞÜPHELİ/SANIK</w:t>
        <w:br/>
        <w:t>[AD SOYAD]</w:t>
        <w:br/>
        <w:t>İmza / (E-İMZALIDIR)</w:t>
      </w:r>
    </w:p>
    <w:p>
      <w:pPr>
        <w:pStyle w:val="Heading1"/>
      </w:pPr>
      <w:r>
        <w:t>EKLER</w:t>
      </w:r>
    </w:p>
    <w:p>
      <w:pPr/>
      <w:r>
        <w:t>1. Adli kontrol kararı</w:t>
      </w:r>
    </w:p>
    <w:p>
      <w:pPr/>
      <w:r>
        <w:t>2. Çalışma/okul/sağlık belgeleri</w:t>
      </w:r>
    </w:p>
    <w:p>
      <w:pPr/>
      <w:r>
        <w:t>3. İkamet ve aile kayıtları</w:t>
      </w:r>
    </w:p>
    <w:p>
      <w:pPr/>
      <w:r>
        <w:t>4. Seyahat/iş sözleşmesi</w:t>
      </w:r>
    </w:p>
    <w:p>
      <w:pPr/>
      <w:r>
        <w:t>5. Dosyadaki delil durumu</w:t>
      </w:r>
    </w:p>
    <w:p>
      <w:r>
        <w:br w:type="page"/>
      </w:r>
    </w:p>
    <w:p>
      <w:pPr>
        <w:jc w:val="center"/>
      </w:pPr>
      <w:r>
        <w:rPr>
          <w:b/>
          <w:color w:val="102449"/>
          <w:sz w:val="28"/>
        </w:rPr>
        <w:t>DOLDURMA VE DOSYALAMA KONTROLÜ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6803"/>
      </w:tblGrid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GÖREVLİ/YETKİLİ MERCİ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Kararı veren hâkimlik veya mahkemeye sunulur; CMK m.268’deki itiraz mercii inceler.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SÜRE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Kararın öğrenilmesinden itibaren iki haftadır. CMK m.111 uyarınca kaldırma veya değiştirme talebi her aşamada yeniden yapılabilir.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DAVA/BAŞVURU ŞARTI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Her yükümlülüğün çalışma, eğitim, sağlık ve aile hayatına etkisi belgelenir; daha hafif tedbir önerisi somutlaştırılır.</w:t>
            </w:r>
          </w:p>
        </w:tc>
      </w:tr>
    </w:tbl>
    <w:p>
      <w:pPr>
        <w:pStyle w:val="Heading2"/>
      </w:pPr>
      <w:r>
        <w:t>Dilekçeye eklenmesi gereken somut bilgiler</w:t>
      </w:r>
    </w:p>
    <w:p>
      <w:pPr/>
      <w:r>
        <w:t>□ [HÂKİMLİK/MAHKEME] [TARİH] tarihinde [YÜKÜMLÜLÜK] adli kontrolüne karar verdi.</w:t>
      </w:r>
    </w:p>
    <w:p>
      <w:pPr/>
      <w:r>
        <w:t>Tedbir □ [İŞ/SAĞLIK/EĞİTİM/AİLE] yaşamını [SOMUT ETKİ] biçiminde aşırı sınırlamaktadır.</w:t>
      </w:r>
    </w:p>
    <w:p>
      <w:pPr/>
      <w:r>
        <w:t>Kaçma veya delil karartma riskini gösteren güncel somut olgu yoktur/deliller toplanmıştır.</w:t>
      </w:r>
    </w:p>
    <w:p>
      <w:pPr/>
      <w:r>
        <w:t>□ [DAHA HAFİF TEDBİR] ile muhakeme amacı sağlanabilir.</w:t>
      </w:r>
    </w:p>
    <w:p>
      <w:pPr>
        <w:pStyle w:val="Heading2"/>
      </w:pPr>
      <w:r>
        <w:t>Başvuru öncesi kritik kontroller</w:t>
      </w:r>
    </w:p>
    <w:p>
      <w:pPr/>
      <w:r>
        <w:t>□ Her tedbire tek gerekçe yazmayın; imza, seyahat ve konut yasağının etkilerini ayrı açıklayın.</w:t>
      </w:r>
    </w:p>
    <w:p>
      <w:pPr/>
      <w:r>
        <w:t>□ Karar kaldırılmadan yükümlülüğü ihlal etmeyin.</w:t>
      </w:r>
    </w:p>
    <w:p>
      <w:pPr/>
      <w:r>
        <w:t>□ Koşul değişikliğini tarih ve belgeyle gösterin.</w:t>
      </w:r>
    </w:p>
    <w:p>
      <w:pPr>
        <w:pStyle w:val="Heading2"/>
      </w:pPr>
      <w:r>
        <w:t>Resmî mevzuat bağlantıları</w:t>
      </w:r>
    </w:p>
    <w:p>
      <w:hyperlink r:id="rId11">
        <w:r>
          <w:rPr>
            <w:color w:val="1e3a8a"/>
            <w:u w:val="single"/>
          </w:rPr>
          <w:t>CMK güncel metni</w:t>
        </w:r>
      </w:hyperlink>
    </w:p>
    <w:p>
      <w:pPr>
        <w:pStyle w:val="Heading2"/>
      </w:pPr>
      <w:r>
        <w:t>İlgili hukuk rehberleri</w:t>
      </w:r>
    </w:p>
    <w:p>
      <w:hyperlink r:id="rId12">
        <w:r>
          <w:rPr>
            <w:color w:val="1e3a8a"/>
            <w:u w:val="single"/>
          </w:rPr>
          <w:t>Tutuklamaya itiraz rehberi</w:t>
        </w:r>
      </w:hyperlink>
    </w:p>
    <w:p>
      <w:hyperlink r:id="rId13">
        <w:r>
          <w:rPr>
            <w:color w:val="1e3a8a"/>
            <w:u w:val="single"/>
          </w:rPr>
          <w:t>Ceza davası aşamaları</w:t>
        </w:r>
      </w:hyperlink>
    </w:p>
    <w:p>
      <w:hyperlink r:id="rId14">
        <w:r>
          <w:rPr>
            <w:color w:val="1e3a8a"/>
            <w:u w:val="single"/>
          </w:rPr>
          <w:t>UYAP Vatandaş Portalı dosya sorgulama</w:t>
        </w:r>
      </w:hyperlink>
    </w:p>
    <w:p>
      <w:hyperlink r:id="rId15">
        <w:r>
          <w:rPr>
            <w:color w:val="1e3a8a"/>
            <w:u w:val="single"/>
          </w:rPr>
          <w:t>Randevu ve iletişim</w:t>
        </w:r>
      </w:hyperlink>
    </w:p>
    <w:p>
      <w:pPr>
        <w:pStyle w:val="BKNote"/>
      </w:pPr>
      <w:r>
        <w:rPr>
          <w:b/>
        </w:rPr>
        <w:t xml:space="preserve">Kullanım notu: </w:t>
      </w:r>
      <w:r>
        <w:t>Köşeli parantezli alanları dosyanıza göre doldurun; seçenekli taleplerden yalnız somut olaya uyanları bırakın. Bu kontrol sayfasını mahkemeye/kuruma sunmadan önce dilekçeden ayırın. Süre, görev, yetki ve dava şartı dosyanın özelliklerine göre son kez doğrulanmalıdır.</w:t>
      </w:r>
    </w:p>
    <w:p>
      <w:pPr>
        <w:jc w:val="center"/>
      </w:pPr>
      <w:hyperlink r:id="rId16">
        <w:r>
          <w:rPr>
            <w:color w:val="1e3a8a"/>
            <w:u w:val="single"/>
          </w:rPr>
          <w:t>halilbakirci.av.tr – Av. Halil Bakırcı</w:t>
        </w:r>
      </w:hyperlink>
    </w:p>
    <w:sectPr w:rsidR="00FC693F" w:rsidRPr="0006063C" w:rsidSect="00034616">
      <w:headerReference w:type="default" r:id="rId9"/>
      <w:footerReference w:type="default" r:id="rId10"/>
      <w:pgSz w:w="12240" w:h="15840"/>
      <w:pgMar w:top="964" w:right="1134" w:bottom="907" w:left="12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64748B"/>
        <w:sz w:val="15"/>
      </w:rPr>
      <w:t>İhsaniye Mahallesi, 4903. Sokak, Profit İş Merkezi No:23, Kat:3, Daire:14, 33070 Akdeniz/Mersin, Türkiye  •  +90 552 224 43 66</w:t>
    </w:r>
  </w:p>
  <w:p>
    <w:pPr>
      <w:jc w:val="center"/>
    </w:pPr>
    <w:r>
      <w:rPr>
        <w:rFonts w:ascii="Arial" w:hAnsi="Arial"/>
        <w:color w:val="64748B"/>
        <w:sz w:val="15"/>
      </w:rPr>
      <w:t xml:space="preserve">Sayfa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/>
        <w:b/>
        <w:color w:val="1E3A8A"/>
        <w:sz w:val="17"/>
      </w:rPr>
      <w:t>BAKIRCI &amp; KESKİN HUKUK BÜROSU  •  HALILBAKIRCI.AV.TR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 w:eastAsia="Arial"/>
      <w:color w:val="172033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10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102449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10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1E3A8A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00" w:line="240" w:lineRule="auto" w:before="160"/>
      <w:contextualSpacing/>
    </w:pPr>
    <w:rPr>
      <w:rFonts w:asciiTheme="majorHAnsi" w:eastAsiaTheme="majorEastAsia" w:hAnsiTheme="majorHAnsi" w:cstheme="majorBidi" w:ascii="Arial" w:hAnsi="Arial" w:eastAsia="Arial"/>
      <w:b/>
      <w:color w:val="102449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BKNote">
    <w:name w:val="BK Note"/>
    <w:pPr>
      <w:spacing w:before="80" w:after="80"/>
      <w:ind w:left="227" w:right="227"/>
    </w:pPr>
    <w:rPr>
      <w:rFonts w:ascii="Arial" w:hAnsi="Arial"/>
      <w:color w:val="475569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www.mevzuat.gov.tr/mevzuatmetin/1.5.5271.pdf" TargetMode="External"/><Relationship Id="rId12" Type="http://schemas.openxmlformats.org/officeDocument/2006/relationships/hyperlink" Target="https://halilbakirci.av.tr/tutuklamaya-itiraz-nasil-yapilir/" TargetMode="External"/><Relationship Id="rId13" Type="http://schemas.openxmlformats.org/officeDocument/2006/relationships/hyperlink" Target="https://halilbakirci.av.tr/ceza-davasi-nedir/" TargetMode="External"/><Relationship Id="rId14" Type="http://schemas.openxmlformats.org/officeDocument/2006/relationships/hyperlink" Target="https://halilbakirci.av.tr/uyap-vatandas-portali-dosya-sorgulama/" TargetMode="External"/><Relationship Id="rId15" Type="http://schemas.openxmlformats.org/officeDocument/2006/relationships/hyperlink" Target="https://halilbakirci.av.tr/iletisim/" TargetMode="External"/><Relationship Id="rId16" Type="http://schemas.openxmlformats.org/officeDocument/2006/relationships/hyperlink" Target="https://halilbakirci.av.t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Adli Kontrol Kararına İtiraz ve Kaldırma Dilekçesi</dc:title>
  <dc:subject>adli kontrol itiraz dilekçesi</dc:subject>
  <dc:creator>Av. Halil Bakırcı</dc:creator>
  <cp:keywords>adli kontrol itiraz dilekçesi, dilekçe örneği, Word indir, Ceza Muhakemesi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