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ALKOLLÜ ARAÇ NEDENİYLE SÜRÜCÜ BELGESİ GERİ ALMA İŞLEMİNE İTİRAZ DİLEKÇESİ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[YETKİLİ] SULH CEZA HÂKİMLİĞİNE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T.C. kimlik numarası ve açık adres]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VEKİLİ  : </w:t>
      </w:r>
      <w:r>
        <w:rPr>
          <w:rFonts w:ascii="Garamond" w:hAnsi="Garamond"/>
          <w:b w:val="0"/>
          <w:color w:val="000000"/>
          <w:sz w:val="22"/>
        </w:rPr>
        <w:t>[Varsa avukat adı ve adresi]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KARARINA BAŞVURULAN BİRİM  : </w:t>
      </w:r>
      <w:r>
        <w:rPr>
          <w:rFonts w:ascii="Garamond" w:hAnsi="Garamond"/>
          <w:b w:val="0"/>
          <w:color w:val="000000"/>
          <w:sz w:val="22"/>
        </w:rPr>
        <w:t>[Tutanağı düzenleyen trafik birimi]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TEBLİĞ VEYA TEFHİM TARİHİ  : </w:t>
      </w:r>
      <w:r>
        <w:rPr>
          <w:rFonts w:ascii="Garamond" w:hAnsi="Garamond"/>
          <w:b w:val="0"/>
          <w:color w:val="000000"/>
          <w:sz w:val="22"/>
        </w:rPr>
        <w:t>[gg.aa.yyyy]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[Tarih] tarihli [seri-sıra] numaralı trafik idari para cezası ile [tarih/sayı] bilgili sürücü belgesinin [süre] geçici geri alınması tutanağının kaldırılması, belgenin ve ödenen tutarın iadesi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[Tarih ve saat] tarihinde [yer] mevkiinde yapılan denetimde [promil] sonucu kaydedilmiş ve hakkımda yukarıdaki işlemler kurulmuştur. Tutanak [aynı gün/şu tarihte] tarafıma bildirilmiştir; başvuru süresindedir.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İşlem maddi gerçeğe ve usule aykırıdır. Çünkü [aracı kullanan kişi ben değildim / ölçüm ve tutanak saatleri çelişmektedir / cihaz çıktısında seri numarası veya kişi bilgisi bulunmamaktadır / sağlık kuruluşu sonucu ile cihaz sonucu arasında açıklanmamış fark vardır / olay tarihinde uygulanmaması gereken yaptırım uygulanmıştır / tekerrür hesabına hatalı kayıt eklenmiştir].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Aracı fiilen kullanan kişiye, ölçümün güvenilirliğine ve tekerrür hesabına ilişkin [kamera/konum/sağlık kaydı/önceki karar] ektedir. Cihaz kalibrasyon belgesi, ölçüm kayıtları ve dayanak tüm tutanakların ilgili birimden getirtilmesini talep ederim.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İdari yaptırımın kanuni unsurları denetlenebilir kayıtlarla ortaya konulmamıştır. Eksik veya birbiriyle çelişen kayıtlar üzerinden para cezası ve sürücü belgesi geri alma yaptırımı uygulanması hukuka aykırıdır.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2918 sayılı Karayolları Trafik Kanunu özellikle m.48, 5326 sayılı Kabahatler Kanunu özellikle m.27, ilgili yönetmelik ve sair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DELİLLER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Trafik idari para cezası karar tutanağı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Sürücü belgesi geri alma tutanağı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Alkolmetre çıktısı ve cihaz kalibrasyon/ölçüm kayıtları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Sağlık kuruluşu belgeleri [varsa]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Kamera ve konum kayıtları ile tanık bilgileri [varsa]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Tebliğ belgesi, önceki yaptırım kayıtları ve ilgili işlem dosyası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 [seri-sıra] numaralı trafik idari para cezasının ve [sayı] bilgili sürücü belgesi geri alma tutanağının kaldırılmasına, sürücü belgemin iadesine, ödenmiş tutarın yasal usulle iadesine ve gerekli kayıtların ilgili birimden getirtilmesine karar verilmesini saygıyla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Ceza tutanağı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Geri alma tutanağı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Alkolmetre çıktısı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Tebliğ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Sağlık, kamera veya konum kayıtları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Diğer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SÜRE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Ceza ve geri alma tutanağının tarih ve numarasını ayrı ayrı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Başvuru süresini tebliğ veya tefhim belgesine göre kontrol edin; genel süre 15 gündür.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Olayın 27 Şubat 2026 öncesi veya sonrası olmasına göre yürürlükteki yaptırımı uygulayın.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Yalnız olayınıza uyan itiraz gerekçelerini bırakın ve her iddiayı delille eşleştirin.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Aday sürücü belgesi iptali veya ceza soruşturması varsa ayrı görev ve süre değerlendirmesi yapın.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7574 sayılı Kanun, güncel KTK m.48 ve Uyuşmazlık Mahkemesinin E.2026/75, K.2026/105 sayılı kararı dikkate alınmıştır.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Alkollü Araç Nedeniyle Sürücü Belgesine El Koymaya İtiraz Dilekçesi 2026</dc:title>
  <dc:subject>Trafik para cezası ve geçici sürücü belgesi geri alma tutanağına sulh ceza başvurusu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