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Ardiyede payın ayrılması talebi</w:t>
      </w:r>
    </w:p>
    <w:p>
      <w:r>
        <w:rPr>
          <w:b/>
        </w:rPr>
        <w:t>[ARDİYECİNİN TAM UNVANI / ADI SOYADI]</w:t>
        <w:br/>
        <w:t>[BAŞVURU ADRESİ]</w:t>
      </w:r>
    </w:p>
    <w:p>
      <w:r>
        <w:t>BAŞVURAN SAKLATAN: [Ad soyad/unvan, adres]</w:t>
        <w:br/>
        <w:t>MAL GRUBU: [Tür, nitelik, ortak grup ve depo bölümü]</w:t>
        <w:br/>
        <w:t>KONU: TBK m.573/2–3 kapsamında açık yetkiye dayanılarak karıştırılan mallardan hakkımla orantılı payımın ayrılması talebidir.</w:t>
      </w:r>
    </w:p>
    <w:p>
      <w:pPr>
        <w:pStyle w:val="Heading2"/>
        <w:keepNext/>
      </w:pPr>
      <w:r>
        <w:rPr>
          <w:b/>
        </w:rPr>
        <w:t>AÇIKLAMALAR</w:t>
      </w:r>
    </w:p>
    <w:p>
      <w:r>
        <w:t>1. [Sözleşme ve teslim kayıtları] kapsamında [mal türü, niteliği ve miktarı] saklanmak üzere işletmenize bırakılmıştır. İlgili malların aynı tür ve nitelikteki diğer mislî mallarla karıştırılmasına ilişkin açık yetki [belge, tarih ve kapsam] ile gösterilmiştir.</w:t>
      </w:r>
    </w:p>
    <w:p>
      <w:r>
        <w:t>2. Başvurum [ortak mal grubu/depo bölümü] ile sınırlıdır. Girişler, daha önce tarafıma veya yetkili temsilcime teslim edilen çıkışlar ve diğer ilgili hareketler Ek-3'te gösterilmiştir. Bu gruba ilişkin kalan hakkım [miktar ve birim] olup ayrılmasını istediğim pay [miktar ve birim] şeklindedir. Payın dayanağı ve hesabı ekte açıklanmıştır.</w:t>
      </w:r>
    </w:p>
    <w:p>
      <w:r>
        <w:t>3. TBK m.573/2 uyarınca yetkiye dayanılarak karıştırılan mallarda saklatan hakkıyla orantılı payını isteyebilir. Aynı maddenin üçüncü fıkrası, ardiyecinin payı saklatanların birlikte hazır bulunmasına gerek olmaksızın ayırabileceğini düzenlemektedir. Başvurum diğer saklatanların paylarının tarafıma verilmesine ilişkin değildir.</w:t>
      </w:r>
    </w:p>
    <w:p>
      <w:pPr>
        <w:pStyle w:val="Heading2"/>
        <w:keepNext/>
      </w:pPr>
      <w:r>
        <w:rPr>
          <w:b/>
        </w:rPr>
        <w:t>SONUÇ VE TALEP</w:t>
      </w:r>
    </w:p>
    <w:p>
      <w:r>
        <w:t>Yukarıda tanımlanan ortak mal grubundan [miktar ve birim] payımın TBK m.573/2–3 uyarınca ayrılmasını; ayırma miktarı, malın niteliği, ilgili grup ve işlem sonrası bakiyenin kayıtlanmasını; teslimin gerçekleştirilmesi için gün, yer ve yetkili kişinin [cevap adresi] üzerinden bildirilmesini talep ederim. Farklı pay hesabı veya teslimi etkileyen bir alacak ve hapis hakkı ileri sürülüyorsa tutar, dayanak ve ilgili belgelerin açıklanmasını istiyorum.</w:t>
      </w:r>
    </w:p>
    <w:p>
      <w:pPr>
        <w:keepLines/>
      </w:pPr>
      <w:r>
        <w:t>Tarih: [Gün / ay / yıl]</w:t>
        <w:br/>
        <w:t>Başvuran: [Ad soyad/unvan]</w:t>
        <w:br/>
        <w:t>İmza:</w:t>
      </w:r>
    </w:p>
    <w:p>
      <w:r>
        <w:t>EKLER</w:t>
        <w:br/>
        <w:t>1. Ardiye sözleşmesi ve mal grubu bilgileri.</w:t>
        <w:br/>
        <w:t>2. Açık karıştırma yetkisini gösteren belge.</w:t>
        <w:br/>
        <w:t>3. Giriş, çıkış ve kalan hak çizelgesi.</w:t>
        <w:br/>
        <w:t>4. İlgili teslim, sayım ve temsil belgeleri.</w:t>
      </w:r>
    </w:p>
    <w:p>
      <w:r>
        <w:br w:type="page"/>
      </w:r>
    </w:p>
    <w:p>
      <w:pPr>
        <w:pStyle w:val="Title"/>
      </w:pPr>
      <w:r>
        <w:t>Mal ve hak hareketleri</w:t>
      </w:r>
    </w:p>
    <w:p>
      <w:r>
        <w:t>Saklatan: [Ad soyad / unvan]</w:t>
      </w:r>
    </w:p>
    <w:p>
      <w:r>
        <w:t>Ardiyeci: [Ad soyad / tam unvan]</w:t>
      </w:r>
    </w:p>
    <w:p>
      <w:r>
        <w:t>Ortak mal grubu: [Tür, nitelik, depo bölümü ve grup kodu]</w:t>
      </w:r>
    </w:p>
    <w:p>
      <w:r>
        <w:t>Açık karıştırma yetkisi: [Belge, tarih ve kapsam]</w:t>
      </w:r>
    </w:p>
    <w:p>
      <w:r>
        <w:t>Giriş ve önceki çıkışları aynı mal grubu ve birimle kaydedin. Hak bakiyesiyle fiilî stok miktarını ayrı gösterin.</w:t>
      </w:r>
    </w:p>
    <w:tbl>
      <w:tblPr>
        <w:tblW w:type="auto" w:w="0"/>
        <w:tblLayout w:type="fixed"/>
        <w:tblLook w:firstColumn="1" w:firstRow="1" w:lastColumn="0" w:lastRow="0" w:noHBand="0" w:noVBand="1" w:val="04A0"/>
      </w:tblPr>
      <w:tblGrid>
        <w:gridCol w:w="2484"/>
        <w:gridCol w:w="2484"/>
        <w:gridCol w:w="2484"/>
        <w:gridCol w:w="2484"/>
      </w:tblGrid>
      <w:tr>
        <w:tc>
          <w:tcPr>
            <w:tcW w:type="dxa" w:w="2016"/>
            <w:shd w:fill="E7ECF2"/>
            <w:tcBorders>
              <w:top w:val="single" w:sz="4" w:color="D9D9D9"/>
              <w:left w:val="single" w:sz="4" w:color="D9D9D9"/>
              <w:bottom w:val="single" w:sz="4" w:color="D9D9D9"/>
              <w:right w:val="single" w:sz="4" w:color="D9D9D9"/>
            </w:tcBorders>
          </w:tcPr>
          <w:p>
            <w:pPr>
              <w:spacing w:after="240" w:before="200"/>
            </w:pPr>
            <w:r>
              <w:t>Hareket / tarih</w:t>
            </w:r>
          </w:p>
        </w:tc>
        <w:tc>
          <w:tcPr>
            <w:tcW w:type="dxa" w:w="2880"/>
            <w:shd w:fill="E7ECF2"/>
            <w:tcBorders>
              <w:top w:val="single" w:sz="4" w:color="D9D9D9"/>
              <w:left w:val="single" w:sz="4" w:color="D9D9D9"/>
              <w:bottom w:val="single" w:sz="4" w:color="D9D9D9"/>
              <w:right w:val="single" w:sz="4" w:color="D9D9D9"/>
            </w:tcBorders>
          </w:tcPr>
          <w:p>
            <w:pPr>
              <w:spacing w:after="240" w:before="200"/>
            </w:pPr>
            <w:r>
              <w:t>Miktar ve birim</w:t>
            </w:r>
          </w:p>
        </w:tc>
        <w:tc>
          <w:tcPr>
            <w:tcW w:type="dxa" w:w="2304"/>
            <w:shd w:fill="E7ECF2"/>
            <w:tcBorders>
              <w:top w:val="single" w:sz="4" w:color="D9D9D9"/>
              <w:left w:val="single" w:sz="4" w:color="D9D9D9"/>
              <w:bottom w:val="single" w:sz="4" w:color="D9D9D9"/>
              <w:right w:val="single" w:sz="4" w:color="D9D9D9"/>
            </w:tcBorders>
          </w:tcPr>
          <w:p>
            <w:pPr>
              <w:spacing w:after="240" w:before="200"/>
            </w:pPr>
            <w:r>
              <w:t>Belge numarası</w:t>
            </w:r>
          </w:p>
        </w:tc>
        <w:tc>
          <w:tcPr>
            <w:tcW w:type="dxa" w:w="2592"/>
            <w:shd w:fill="E7ECF2"/>
            <w:tcBorders>
              <w:top w:val="single" w:sz="4" w:color="D9D9D9"/>
              <w:left w:val="single" w:sz="4" w:color="D9D9D9"/>
              <w:bottom w:val="single" w:sz="4" w:color="D9D9D9"/>
              <w:right w:val="single" w:sz="4" w:color="D9D9D9"/>
            </w:tcBorders>
          </w:tcPr>
          <w:p>
            <w:pPr>
              <w:spacing w:after="240" w:before="200"/>
            </w:pPr>
            <w:r>
              <w:t>Hak bakiyesine etkisi</w:t>
            </w:r>
          </w:p>
        </w:tc>
      </w:tr>
      <w:tr>
        <w:tc>
          <w:tcPr>
            <w:tcW w:type="dxa" w:w="2016"/>
            <w:tcBorders>
              <w:top w:val="single" w:sz="4" w:color="D9D9D9"/>
              <w:left w:val="single" w:sz="4" w:color="D9D9D9"/>
              <w:bottom w:val="single" w:sz="4" w:color="D9D9D9"/>
              <w:right w:val="single" w:sz="4" w:color="D9D9D9"/>
            </w:tcBorders>
          </w:tcPr>
          <w:p>
            <w:pPr>
              <w:spacing w:after="240" w:before="200"/>
            </w:pPr>
            <w:r>
              <w:t>[Bilgi]</w:t>
            </w:r>
          </w:p>
        </w:tc>
        <w:tc>
          <w:tcPr>
            <w:tcW w:type="dxa" w:w="2880"/>
            <w:tcBorders>
              <w:top w:val="single" w:sz="4" w:color="D9D9D9"/>
              <w:left w:val="single" w:sz="4" w:color="D9D9D9"/>
              <w:bottom w:val="single" w:sz="4" w:color="D9D9D9"/>
              <w:right w:val="single" w:sz="4" w:color="D9D9D9"/>
            </w:tcBorders>
          </w:tcPr>
          <w:p>
            <w:pPr>
              <w:spacing w:after="240" w:before="200"/>
            </w:pPr>
            <w:r>
              <w:t>[Bilgi]</w:t>
            </w:r>
          </w:p>
        </w:tc>
        <w:tc>
          <w:tcPr>
            <w:tcW w:type="dxa" w:w="2304"/>
            <w:tcBorders>
              <w:top w:val="single" w:sz="4" w:color="D9D9D9"/>
              <w:left w:val="single" w:sz="4" w:color="D9D9D9"/>
              <w:bottom w:val="single" w:sz="4" w:color="D9D9D9"/>
              <w:right w:val="single" w:sz="4" w:color="D9D9D9"/>
            </w:tcBorders>
          </w:tcPr>
          <w:p>
            <w:pPr>
              <w:spacing w:after="240" w:before="200"/>
            </w:pPr>
            <w:r>
              <w:t>[Bilgi]</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r>
        <w:tc>
          <w:tcPr>
            <w:tcW w:type="dxa" w:w="2016"/>
            <w:tcBorders>
              <w:top w:val="single" w:sz="4" w:color="D9D9D9"/>
              <w:left w:val="single" w:sz="4" w:color="D9D9D9"/>
              <w:bottom w:val="single" w:sz="4" w:color="D9D9D9"/>
              <w:right w:val="single" w:sz="4" w:color="D9D9D9"/>
            </w:tcBorders>
          </w:tcPr>
          <w:p>
            <w:pPr>
              <w:spacing w:after="240" w:before="200"/>
            </w:pPr>
            <w:r>
              <w:t>[Bilgi]</w:t>
            </w:r>
          </w:p>
        </w:tc>
        <w:tc>
          <w:tcPr>
            <w:tcW w:type="dxa" w:w="2880"/>
            <w:tcBorders>
              <w:top w:val="single" w:sz="4" w:color="D9D9D9"/>
              <w:left w:val="single" w:sz="4" w:color="D9D9D9"/>
              <w:bottom w:val="single" w:sz="4" w:color="D9D9D9"/>
              <w:right w:val="single" w:sz="4" w:color="D9D9D9"/>
            </w:tcBorders>
          </w:tcPr>
          <w:p>
            <w:pPr>
              <w:spacing w:after="240" w:before="200"/>
            </w:pPr>
            <w:r>
              <w:t>[Bilgi]</w:t>
            </w:r>
          </w:p>
        </w:tc>
        <w:tc>
          <w:tcPr>
            <w:tcW w:type="dxa" w:w="2304"/>
            <w:tcBorders>
              <w:top w:val="single" w:sz="4" w:color="D9D9D9"/>
              <w:left w:val="single" w:sz="4" w:color="D9D9D9"/>
              <w:bottom w:val="single" w:sz="4" w:color="D9D9D9"/>
              <w:right w:val="single" w:sz="4" w:color="D9D9D9"/>
            </w:tcBorders>
          </w:tcPr>
          <w:p>
            <w:pPr>
              <w:spacing w:after="240" w:before="200"/>
            </w:pPr>
            <w:r>
              <w:t>[Bilgi]</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r>
        <w:tc>
          <w:tcPr>
            <w:tcW w:type="dxa" w:w="2016"/>
            <w:tcBorders>
              <w:top w:val="single" w:sz="4" w:color="D9D9D9"/>
              <w:left w:val="single" w:sz="4" w:color="D9D9D9"/>
              <w:bottom w:val="single" w:sz="4" w:color="D9D9D9"/>
              <w:right w:val="single" w:sz="4" w:color="D9D9D9"/>
            </w:tcBorders>
          </w:tcPr>
          <w:p>
            <w:pPr>
              <w:spacing w:after="240" w:before="200"/>
            </w:pPr>
            <w:r>
              <w:t>[Bilgi]</w:t>
            </w:r>
          </w:p>
        </w:tc>
        <w:tc>
          <w:tcPr>
            <w:tcW w:type="dxa" w:w="2880"/>
            <w:tcBorders>
              <w:top w:val="single" w:sz="4" w:color="D9D9D9"/>
              <w:left w:val="single" w:sz="4" w:color="D9D9D9"/>
              <w:bottom w:val="single" w:sz="4" w:color="D9D9D9"/>
              <w:right w:val="single" w:sz="4" w:color="D9D9D9"/>
            </w:tcBorders>
          </w:tcPr>
          <w:p>
            <w:pPr>
              <w:spacing w:after="240" w:before="200"/>
            </w:pPr>
            <w:r>
              <w:t>[Bilgi]</w:t>
            </w:r>
          </w:p>
        </w:tc>
        <w:tc>
          <w:tcPr>
            <w:tcW w:type="dxa" w:w="2304"/>
            <w:tcBorders>
              <w:top w:val="single" w:sz="4" w:color="D9D9D9"/>
              <w:left w:val="single" w:sz="4" w:color="D9D9D9"/>
              <w:bottom w:val="single" w:sz="4" w:color="D9D9D9"/>
              <w:right w:val="single" w:sz="4" w:color="D9D9D9"/>
            </w:tcBorders>
          </w:tcPr>
          <w:p>
            <w:pPr>
              <w:spacing w:after="240" w:before="200"/>
            </w:pPr>
            <w:r>
              <w:t>[Bilgi]</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r>
        <w:tc>
          <w:tcPr>
            <w:tcW w:type="dxa" w:w="2016"/>
            <w:tcBorders>
              <w:top w:val="single" w:sz="4" w:color="D9D9D9"/>
              <w:left w:val="single" w:sz="4" w:color="D9D9D9"/>
              <w:bottom w:val="single" w:sz="4" w:color="D9D9D9"/>
              <w:right w:val="single" w:sz="4" w:color="D9D9D9"/>
            </w:tcBorders>
          </w:tcPr>
          <w:p>
            <w:pPr>
              <w:spacing w:after="240" w:before="200"/>
            </w:pPr>
            <w:r>
              <w:t>[Bilgi]</w:t>
            </w:r>
          </w:p>
        </w:tc>
        <w:tc>
          <w:tcPr>
            <w:tcW w:type="dxa" w:w="2880"/>
            <w:tcBorders>
              <w:top w:val="single" w:sz="4" w:color="D9D9D9"/>
              <w:left w:val="single" w:sz="4" w:color="D9D9D9"/>
              <w:bottom w:val="single" w:sz="4" w:color="D9D9D9"/>
              <w:right w:val="single" w:sz="4" w:color="D9D9D9"/>
            </w:tcBorders>
          </w:tcPr>
          <w:p>
            <w:pPr>
              <w:spacing w:after="240" w:before="200"/>
            </w:pPr>
            <w:r>
              <w:t>[Bilgi]</w:t>
            </w:r>
          </w:p>
        </w:tc>
        <w:tc>
          <w:tcPr>
            <w:tcW w:type="dxa" w:w="2304"/>
            <w:tcBorders>
              <w:top w:val="single" w:sz="4" w:color="D9D9D9"/>
              <w:left w:val="single" w:sz="4" w:color="D9D9D9"/>
              <w:bottom w:val="single" w:sz="4" w:color="D9D9D9"/>
              <w:right w:val="single" w:sz="4" w:color="D9D9D9"/>
            </w:tcBorders>
          </w:tcPr>
          <w:p>
            <w:pPr>
              <w:spacing w:after="240" w:before="200"/>
            </w:pPr>
            <w:r>
              <w:t>[Bilgi]</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r>
        <w:tc>
          <w:tcPr>
            <w:tcW w:type="dxa" w:w="2016"/>
            <w:tcBorders>
              <w:top w:val="single" w:sz="4" w:color="D9D9D9"/>
              <w:left w:val="single" w:sz="4" w:color="D9D9D9"/>
              <w:bottom w:val="single" w:sz="4" w:color="D9D9D9"/>
              <w:right w:val="single" w:sz="4" w:color="D9D9D9"/>
            </w:tcBorders>
          </w:tcPr>
          <w:p>
            <w:pPr>
              <w:spacing w:after="240" w:before="200"/>
            </w:pPr>
            <w:r>
              <w:t>[Bilgi]</w:t>
            </w:r>
          </w:p>
        </w:tc>
        <w:tc>
          <w:tcPr>
            <w:tcW w:type="dxa" w:w="2880"/>
            <w:tcBorders>
              <w:top w:val="single" w:sz="4" w:color="D9D9D9"/>
              <w:left w:val="single" w:sz="4" w:color="D9D9D9"/>
              <w:bottom w:val="single" w:sz="4" w:color="D9D9D9"/>
              <w:right w:val="single" w:sz="4" w:color="D9D9D9"/>
            </w:tcBorders>
          </w:tcPr>
          <w:p>
            <w:pPr>
              <w:spacing w:after="240" w:before="200"/>
            </w:pPr>
            <w:r>
              <w:t>[Bilgi]</w:t>
            </w:r>
          </w:p>
        </w:tc>
        <w:tc>
          <w:tcPr>
            <w:tcW w:type="dxa" w:w="2304"/>
            <w:tcBorders>
              <w:top w:val="single" w:sz="4" w:color="D9D9D9"/>
              <w:left w:val="single" w:sz="4" w:color="D9D9D9"/>
              <w:bottom w:val="single" w:sz="4" w:color="D9D9D9"/>
              <w:right w:val="single" w:sz="4" w:color="D9D9D9"/>
            </w:tcBorders>
          </w:tcPr>
          <w:p>
            <w:pPr>
              <w:spacing w:after="240" w:before="200"/>
            </w:pPr>
            <w:r>
              <w:t>[Bilgi]</w:t>
            </w:r>
          </w:p>
        </w:tc>
        <w:tc>
          <w:tcPr>
            <w:tcW w:type="dxa" w:w="2592"/>
            <w:tcBorders>
              <w:top w:val="single" w:sz="4" w:color="D9D9D9"/>
              <w:left w:val="single" w:sz="4" w:color="D9D9D9"/>
              <w:bottom w:val="single" w:sz="4" w:color="D9D9D9"/>
              <w:right w:val="single" w:sz="4" w:color="D9D9D9"/>
            </w:tcBorders>
          </w:tcPr>
          <w:p>
            <w:pPr>
              <w:spacing w:after="240" w:before="200"/>
            </w:pPr>
            <w:r>
              <w:t>[Bilgi]</w:t>
            </w:r>
          </w:p>
        </w:tc>
      </w:tr>
    </w:tbl>
    <w:p>
      <w:pPr>
        <w:spacing w:before="240"/>
      </w:pPr>
      <w:r>
        <w:t>Kalan hak miktarı ve birimi: [Bilgi]</w:t>
      </w:r>
    </w:p>
    <w:p>
      <w:r>
        <w:t>Bu başvuruda istenen pay ve birimi: [Bilgi]</w:t>
      </w:r>
    </w:p>
    <w:p>
      <w:r>
        <w:t>Hazırlayan: [Ad soyad]</w:t>
      </w:r>
    </w:p>
    <w:p>
      <w:r>
        <w:t>Tarih: [Gün / ay / yıl]</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Times New Roman" w:hAnsi="Times New Roman"/>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Ardiyede payın ayrılması talebi</dc:title>
  <dc:subject>TBK 573/2–3 kapsamında ardiyeciye pay ayırma başvurusu</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