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02449"/>
          <w:sz w:val="30"/>
        </w:rPr>
        <w:t>AYIPLI ARAÇ İÇIN BEDEL İADESI VEYA DEĞIŞIM DILEKÇESI</w:t>
      </w:r>
    </w:p>
    <w:p>
      <w:pPr>
        <w:jc w:val="center"/>
      </w:pPr>
      <w:r>
        <w:rPr>
          <w:b/>
          <w:color w:val="C9A24D"/>
          <w:sz w:val="17"/>
        </w:rPr>
        <w:t>DÜZENLENEBİLİR WORD ŞABLONU • HUKUK KONTROLÜ: 2 Eylül 2026</w:t>
      </w:r>
    </w:p>
    <w:p>
      <w:pPr>
        <w:jc w:val="center"/>
      </w:pPr>
      <w:r>
        <w:rPr>
          <w:b/>
          <w:sz w:val="23"/>
        </w:rPr>
        <w:t>UYUŞMAZLIK DEĞERI 2026’DA 186.000 TL’NIN ALTINDAYSA TÜKETICI HAKEM HEYETI SAYIN HÂKİMLİĞİNE / MAKAMINA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BAŞVURAN/DAVACI TÜKETİCİ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/ T.C. KİMLİK NO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SATICI/İTHALATÇI/ÜRETİCİ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veya UNVAN / T.C.-VKN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VEKİLİ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[VARSA AVUKAT ADI, BARO-SİCİL,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DOSYA NO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[ESAS / İCRA / SORUŞTURMA / KARAR NUMARASI]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KONU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Ayıplı araç nedeniyle seçilen bedel iadesi veya ayıpsız misliyle değişim hakkının yerine getirilmesi istemidir.</w:t>
            </w:r>
          </w:p>
        </w:tc>
      </w:tr>
    </w:tbl>
    <w:p>
      <w:pPr>
        <w:pStyle w:val="Heading1"/>
      </w:pPr>
      <w:r>
        <w:t>AÇIKLAMALAR</w:t>
      </w:r>
    </w:p>
    <w:p>
      <w:pPr/>
      <w:r>
        <w:rPr>
          <w:b/>
        </w:rPr>
        <w:t xml:space="preserve">1. </w:t>
      </w:r>
      <w:r>
        <w:t>Bu başvuru 6502 m.11 uyarınca ayıplı araçta tüketici sözleşmeden dönerek bedel iadesi, ayıpsız misliyle değişim, ücretsiz onarım veya bedel indirimi haklarından birini seçer. Seçimlik hak satıcıya açıkça bildirilir; onarım geçmişi ve ayıbın kullanım/güvenliğe etkisi eklenir.</w:t>
      </w:r>
    </w:p>
    <w:p>
      <w:pPr/>
      <w:r>
        <w:rPr>
          <w:b/>
        </w:rPr>
        <w:t xml:space="preserve">2. </w:t>
      </w:r>
      <w:r>
        <w:t>Araç [MARKA/MODEL/ŞASİ] [SATIN ALMA-TESLİM] tarihinde [TUTAR] TL’ye alındı.</w:t>
      </w:r>
    </w:p>
    <w:p>
      <w:pPr/>
      <w:r>
        <w:rPr>
          <w:b/>
        </w:rPr>
        <w:t xml:space="preserve">3. </w:t>
      </w:r>
      <w:r>
        <w:t>[ARIZA/AYIP] [TARİH/KM]de ortaya çıktı ve [SERVİS] tarafından [RAPOR] düzenlendi.</w:t>
      </w:r>
    </w:p>
    <w:p>
      <w:pPr/>
      <w:r>
        <w:rPr>
          <w:b/>
        </w:rPr>
        <w:t xml:space="preserve">4. </w:t>
      </w:r>
      <w:r>
        <w:t>Aynı/önemli ayıp [TEKRAR SAYISI] kez onarıma rağmen devam etti veya güvenli kullanımı engelledi.</w:t>
      </w:r>
    </w:p>
    <w:p>
      <w:pPr/>
      <w:r>
        <w:rPr>
          <w:b/>
        </w:rPr>
        <w:t xml:space="preserve">5. </w:t>
      </w:r>
      <w:r>
        <w:t>Tüketici [BEDEL İADESİ/DEĞİŞİM] hakkını [BİLDİRİM] ile seçti.</w:t>
      </w:r>
    </w:p>
    <w:p>
      <w:pPr/>
      <w:r>
        <w:rPr>
          <w:b/>
        </w:rPr>
        <w:t xml:space="preserve">6. </w:t>
      </w:r>
      <w:r>
        <w:t>Aşağıdaki kanuni düzenlemeler somut olaya doğrudan uygulanır:</w:t>
      </w:r>
    </w:p>
    <w:p>
      <w:pPr>
        <w:ind w:left="312"/>
      </w:pPr>
      <w:r>
        <w:rPr>
          <w:b/>
          <w:color w:val="1E3A8A"/>
        </w:rPr>
        <w:t xml:space="preserve">6502 sayılı Kanun m.8: </w:t>
      </w:r>
      <w:r>
        <w:t>Sözleşmeye aykırı, vaat edilen veya objektif olarak bulunması gereken özellikleri taşımayan mal ayıplıdır.</w:t>
      </w:r>
    </w:p>
    <w:p>
      <w:pPr>
        <w:ind w:left="312"/>
      </w:pPr>
      <w:r>
        <w:rPr>
          <w:b/>
          <w:color w:val="1E3A8A"/>
        </w:rPr>
        <w:t xml:space="preserve">6502 sayılı Kanun m.10: </w:t>
      </w:r>
      <w:r>
        <w:t>Teslimden itibaren altı ay içinde ortaya çıkan ayıbın teslim tarihinde var olduğu kabul edilir; aksini satıcı ispatlar.</w:t>
      </w:r>
    </w:p>
    <w:p>
      <w:pPr>
        <w:ind w:left="312"/>
      </w:pPr>
      <w:r>
        <w:rPr>
          <w:b/>
          <w:color w:val="1E3A8A"/>
        </w:rPr>
        <w:t xml:space="preserve">6502 sayılı Kanun m.11: </w:t>
      </w:r>
      <w:r>
        <w:t>Tüketicinin dönme, bedel indirimi, ücretsiz onarım ve ayıpsız misliyle değişim seçimlik hakları düzenlenir.</w:t>
      </w:r>
    </w:p>
    <w:p>
      <w:pPr>
        <w:ind w:left="312"/>
      </w:pPr>
      <w:r>
        <w:rPr>
          <w:b/>
          <w:color w:val="1E3A8A"/>
        </w:rPr>
        <w:t xml:space="preserve">6502 sayılı Kanun m.12: </w:t>
      </w:r>
      <w:r>
        <w:t>Ayıplı mal sorumluluğunda kural olarak iki yıllık zamanaşımı ve ağır kusur/hile istisnası düzenlenir.</w:t>
      </w:r>
    </w:p>
    <w:p>
      <w:pPr>
        <w:ind w:left="312"/>
      </w:pPr>
      <w:r>
        <w:rPr>
          <w:b/>
          <w:color w:val="1E3A8A"/>
        </w:rPr>
        <w:t xml:space="preserve">6502 sayılı Kanun m.73/A: </w:t>
      </w:r>
      <w:r>
        <w:t>Tüketici mahkemesinde dava öncesi arabuluculuk kuralı ve istisnaları düzenlenir.</w:t>
      </w:r>
    </w:p>
    <w:p>
      <w:pPr>
        <w:pStyle w:val="Heading1"/>
      </w:pPr>
      <w:r>
        <w:t>HUKUKİ NEDENLER</w:t>
      </w:r>
    </w:p>
    <w:p>
      <w:r>
        <w:t>6502 sayılı Kanun m.8, 6502 sayılı Kanun m.10, 6502 sayılı Kanun m.11, 6502 sayılı Kanun m.12, 6502 sayılı Kanun m.73/A ve ilgili diğer mevzuat.</w:t>
      </w:r>
    </w:p>
    <w:p>
      <w:pPr>
        <w:pStyle w:val="Heading1"/>
      </w:pPr>
      <w:r>
        <w:t>DELİLLER</w:t>
      </w:r>
    </w:p>
    <w:p>
      <w:pPr/>
      <w:r>
        <w:rPr>
          <w:b/>
        </w:rPr>
        <w:t xml:space="preserve">1. </w:t>
      </w:r>
      <w:r>
        <w:t>Satış faturası ve sözleşme</w:t>
      </w:r>
    </w:p>
    <w:p>
      <w:pPr/>
      <w:r>
        <w:rPr>
          <w:b/>
        </w:rPr>
        <w:t xml:space="preserve">2. </w:t>
      </w:r>
      <w:r>
        <w:t>Ruhsat/şasi bilgisi</w:t>
      </w:r>
    </w:p>
    <w:p>
      <w:pPr/>
      <w:r>
        <w:rPr>
          <w:b/>
        </w:rPr>
        <w:t xml:space="preserve">3. </w:t>
      </w:r>
      <w:r>
        <w:t>Ekspertiz ve servis iş emirleri</w:t>
      </w:r>
    </w:p>
    <w:p>
      <w:pPr/>
      <w:r>
        <w:rPr>
          <w:b/>
        </w:rPr>
        <w:t xml:space="preserve">4. </w:t>
      </w:r>
      <w:r>
        <w:t>Arıza fotoğraf/video kayıtları</w:t>
      </w:r>
    </w:p>
    <w:p>
      <w:pPr/>
      <w:r>
        <w:rPr>
          <w:b/>
        </w:rPr>
        <w:t xml:space="preserve">5. </w:t>
      </w:r>
      <w:r>
        <w:t>Noter/KEP/e-posta bildirimi</w:t>
      </w:r>
    </w:p>
    <w:p>
      <w:pPr/>
      <w:r>
        <w:t>Karşı tarafın ve ilgili kurumların elindeki kayıtların celbi ile hukuka uygun her türlü delil.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pPr>
        <w:ind w:left="283"/>
      </w:pPr>
      <w:r>
        <w:rPr>
          <w:b/>
        </w:rPr>
        <w:t xml:space="preserve">1. </w:t>
      </w:r>
      <w:r>
        <w:t>Seçimlik hak gereği aracın iadesi karşılığında satış bedelinin faiziyle geri verilmesi veya ayıpsız misliyle değişim,</w:t>
      </w:r>
    </w:p>
    <w:p>
      <w:pPr>
        <w:ind w:left="283"/>
      </w:pPr>
      <w:r>
        <w:rPr>
          <w:b/>
        </w:rPr>
        <w:t xml:space="preserve">2. </w:t>
      </w:r>
      <w:r>
        <w:t>Zorunlu giderlerin ve koşulları varsa değer kaybının tahsili,</w:t>
      </w:r>
    </w:p>
    <w:p>
      <w:pPr>
        <w:jc w:val="right"/>
      </w:pPr>
      <w:r>
        <w:t>karar verilmesini saygıyla arz ve talep ederim. [TARİH]</w:t>
      </w:r>
    </w:p>
    <w:p>
      <w:pPr>
        <w:jc w:val="right"/>
      </w:pPr>
      <w:r>
        <w:rPr>
          <w:b/>
        </w:rPr>
        <w:t>BAŞVURAN/DAVACI TÜKETİCİ</w:t>
        <w:br/>
        <w:t>[AD SOYAD]</w:t>
        <w:br/>
        <w:t>İmza / (E-İMZALIDIR)</w:t>
      </w:r>
    </w:p>
    <w:p>
      <w:pPr>
        <w:pStyle w:val="Heading1"/>
      </w:pPr>
      <w:r>
        <w:t>EKLER</w:t>
      </w:r>
    </w:p>
    <w:p>
      <w:pPr/>
      <w:r>
        <w:t>1. Satış faturası ve sözleşme</w:t>
      </w:r>
    </w:p>
    <w:p>
      <w:pPr/>
      <w:r>
        <w:t>2. Ruhsat/şasi bilgisi</w:t>
      </w:r>
    </w:p>
    <w:p>
      <w:pPr/>
      <w:r>
        <w:t>3. Ekspertiz ve servis iş emirleri</w:t>
      </w:r>
    </w:p>
    <w:p>
      <w:pPr/>
      <w:r>
        <w:t>4. Arıza fotoğraf/video kayıtları</w:t>
      </w:r>
    </w:p>
    <w:p>
      <w:pPr/>
      <w:r>
        <w:t>5. Noter/KEP/e-posta bildirimi</w:t>
      </w:r>
    </w:p>
    <w:p>
      <w:r>
        <w:br w:type="page"/>
      </w:r>
    </w:p>
    <w:p>
      <w:pPr>
        <w:jc w:val="center"/>
      </w:pPr>
      <w:r>
        <w:rPr>
          <w:b/>
          <w:color w:val="102449"/>
          <w:sz w:val="28"/>
        </w:rPr>
        <w:t>DOLDURMA VE DOSYALAMA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GÖREVLİ/YETKİLİ MERCİ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Uyuşmazlık değeri 2026’da 186.000 TL’nin altındaysa Tüketici Hakem Heyeti; üzerindeyse zorunlu arabuluculuk sonrası Tüketici Mahkemesi.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SÜRE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Teslimden itibaren iki yıllık zamanaşımı uygulanır. Ayıp ağır kusur veya hileyle gizlenmişse zamanaşımı hükümleri satıcı lehine uygulanmaz.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DAVA/BAŞVURU ŞARTI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Araç tüketici işlemi kapsamında alınmış olmalı; arıza, servis geçmişi, ekspertiz ve seçimlik hak bildirimi belgelendirilmelidir.</w:t>
            </w:r>
          </w:p>
        </w:tc>
      </w:tr>
    </w:tbl>
    <w:p>
      <w:pPr>
        <w:pStyle w:val="Heading2"/>
      </w:pPr>
      <w:r>
        <w:t>Dilekçeye eklenmesi gereken somut bilgiler</w:t>
      </w:r>
    </w:p>
    <w:p>
      <w:pPr/>
      <w:r>
        <w:t>Araç □ [MARKA/MODEL/ŞASİ] [SATIN ALMA-TESLİM] tarihinde [TUTAR] TL’ye alındı.</w:t>
      </w:r>
    </w:p>
    <w:p>
      <w:pPr/>
      <w:r>
        <w:t>□ [ARIZA/AYIP] [TARİH/KM]de ortaya çıktı ve [SERVİS] tarafından [RAPOR] düzenlendi.</w:t>
      </w:r>
    </w:p>
    <w:p>
      <w:pPr/>
      <w:r>
        <w:t>Aynı/önemli ayıp □ [TEKRAR SAYISI] kez onarıma rağmen devam etti veya güvenli kullanımı engelledi.</w:t>
      </w:r>
    </w:p>
    <w:p>
      <w:pPr/>
      <w:r>
        <w:t>Tüketici □ [BEDEL İADESİ/DEĞİŞİM] hakkını [BİLDİRİM] ile seçti.</w:t>
      </w:r>
    </w:p>
    <w:p>
      <w:pPr>
        <w:pStyle w:val="Heading2"/>
      </w:pPr>
      <w:r>
        <w:t>Başvuru öncesi kritik kontroller</w:t>
      </w:r>
    </w:p>
    <w:p>
      <w:pPr/>
      <w:r>
        <w:t>□ Aracın tüketici işlemi kapsamında mı ticari amaçla mı alındığını belirleyin.</w:t>
      </w:r>
    </w:p>
    <w:p>
      <w:pPr/>
      <w:r>
        <w:t>□ Ayıbı, güvenlik ve kullanım üzerindeki etkisini teknik raporla somutlaştırın.</w:t>
      </w:r>
    </w:p>
    <w:p>
      <w:pPr/>
      <w:r>
        <w:t>□ Bir seçimlik hakkı açıkça seçin; değişiklik stratejisini usulen yönetin.</w:t>
      </w:r>
    </w:p>
    <w:p>
      <w:pPr>
        <w:pStyle w:val="Heading2"/>
      </w:pPr>
      <w:r>
        <w:t>Resmî mevzuat bağlantıları</w:t>
      </w:r>
    </w:p>
    <w:p>
      <w:hyperlink r:id="rId11">
        <w:r>
          <w:rPr>
            <w:color w:val="1e3a8a"/>
            <w:u w:val="single"/>
          </w:rPr>
          <w:t>6502 güncel metni</w:t>
        </w:r>
      </w:hyperlink>
    </w:p>
    <w:p>
      <w:hyperlink r:id="rId12">
        <w:r>
          <w:rPr>
            <w:color w:val="1e3a8a"/>
            <w:u w:val="single"/>
          </w:rPr>
          <w:t>6325 güncel metni</w:t>
        </w:r>
      </w:hyperlink>
    </w:p>
    <w:p>
      <w:pPr>
        <w:pStyle w:val="Heading2"/>
      </w:pPr>
      <w:r>
        <w:t>İlgili hukuk rehberleri</w:t>
      </w:r>
    </w:p>
    <w:p>
      <w:hyperlink r:id="rId13">
        <w:r>
          <w:rPr>
            <w:color w:val="1e3a8a"/>
            <w:u w:val="single"/>
          </w:rPr>
          <w:t>Tüketici Hakem Heyeti başvurusu</w:t>
        </w:r>
      </w:hyperlink>
    </w:p>
    <w:p>
      <w:hyperlink r:id="rId14">
        <w:r>
          <w:rPr>
            <w:color w:val="1e3a8a"/>
            <w:u w:val="single"/>
          </w:rPr>
          <w:t>Sözleşmeden dönme ve fesih farkı</w:t>
        </w:r>
      </w:hyperlink>
    </w:p>
    <w:p>
      <w:hyperlink r:id="rId15">
        <w:r>
          <w:rPr>
            <w:color w:val="1e3a8a"/>
            <w:u w:val="single"/>
          </w:rPr>
          <w:t>Gayrimenkul hukuku hizmetleri</w:t>
        </w:r>
      </w:hyperlink>
    </w:p>
    <w:p>
      <w:hyperlink r:id="rId16">
        <w:r>
          <w:rPr>
            <w:color w:val="1e3a8a"/>
            <w:u w:val="single"/>
          </w:rPr>
          <w:t>Randevu ve iletişim</w:t>
        </w:r>
      </w:hyperlink>
    </w:p>
    <w:p>
      <w:pPr>
        <w:pStyle w:val="BKNote"/>
      </w:pPr>
      <w:r>
        <w:rPr>
          <w:b/>
        </w:rPr>
        <w:t xml:space="preserve">Kullanım notu: </w:t>
      </w:r>
      <w:r>
        <w:t>Köşeli parantezli alanları dosyanıza göre doldurun; seçenekli taleplerden yalnız somut olaya uyanları bırakın. Bu kontrol sayfasını mahkemeye/kuruma sunmadan önce dilekçeden ayırın. Süre, görev, yetki ve dava şartı dosyanın özelliklerine göre son kez doğrulanmalıdır.</w:t>
      </w:r>
    </w:p>
    <w:p>
      <w:pPr>
        <w:jc w:val="center"/>
      </w:pPr>
      <w:hyperlink r:id="rId17">
        <w:r>
          <w:rPr>
            <w:color w:val="1e3a8a"/>
            <w:u w:val="single"/>
          </w:rPr>
          <w:t>halilbakirci.av.tr – Av. Halil Bakırcı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0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748B"/>
        <w:sz w:val="15"/>
      </w:rPr>
      <w:t>İhsaniye Mahallesi, 4903. Sokak, Profit İş Merkezi No:23, Kat:3, Daire:14, 33070 Akdeniz/Mersin, Türkiye  •  +90 552 224 43 66</w:t>
    </w:r>
  </w:p>
  <w:p>
    <w:pPr>
      <w:jc w:val="center"/>
    </w:pPr>
    <w:r>
      <w:rPr>
        <w:rFonts w:ascii="Arial" w:hAnsi="Arial"/>
        <w:color w:val="64748B"/>
        <w:sz w:val="15"/>
      </w:rPr>
      <w:t xml:space="preserve">Sayfa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E3A8A"/>
        <w:sz w:val="17"/>
      </w:rPr>
      <w:t>BAKIRCI &amp; KESKİN HUKUK BÜROSU  •  HALILBAKIRCI.AV.TR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 w:eastAsia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0244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E3A8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Arial" w:hAnsi="Arial" w:eastAsia="Arial"/>
      <w:b/>
      <w:color w:val="10244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KNote">
    <w:name w:val="BK Note"/>
    <w:pPr>
      <w:spacing w:before="80" w:after="80"/>
      <w:ind w:left="227" w:right="227"/>
    </w:pPr>
    <w:rPr>
      <w:rFonts w:ascii="Arial" w:hAnsi="Arial"/>
      <w:color w:val="475569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mevzuat.gov.tr/mevzuatmetin/1.5.6502.pdf" TargetMode="External"/><Relationship Id="rId12" Type="http://schemas.openxmlformats.org/officeDocument/2006/relationships/hyperlink" Target="https://www.mevzuat.gov.tr/mevzuatmetin/1.5.6325.pdf" TargetMode="External"/><Relationship Id="rId13" Type="http://schemas.openxmlformats.org/officeDocument/2006/relationships/hyperlink" Target="https://halilbakirci.av.tr/tuketici-hakem-heyeti-basvurusu/" TargetMode="External"/><Relationship Id="rId14" Type="http://schemas.openxmlformats.org/officeDocument/2006/relationships/hyperlink" Target="https://halilbakirci.av.tr/sozlesmeden-donme-ile-sozlesmenin-feshi-arasindaki-fark-tbkya-gore/" TargetMode="External"/><Relationship Id="rId15" Type="http://schemas.openxmlformats.org/officeDocument/2006/relationships/hyperlink" Target="https://halilbakirci.av.tr/mersin-gayrimenkul-avukati/" TargetMode="External"/><Relationship Id="rId16" Type="http://schemas.openxmlformats.org/officeDocument/2006/relationships/hyperlink" Target="https://halilbakirci.av.tr/iletisim/" TargetMode="External"/><Relationship Id="rId17" Type="http://schemas.openxmlformats.org/officeDocument/2006/relationships/hyperlink" Target="https://halilbakirci.a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Ayıplı Araç İçin Bedel İadesi veya Değişim Dilekçesi</dc:title>
  <dc:subject>ayıplı araç bedel iadesi dilekçesi</dc:subject>
  <dc:creator>Av. Halil Bakırcı</dc:creator>
  <cp:keywords>ayıplı araç bedel iadesi dilekçesi, dilekçe örneği, Word indir, Tüketici Hukuku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