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AYIPLI BEYAZ EŞYA İADE VEYA DEĞIŞIM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SATICI, ÜRETICI/ITHALATÇI VE YETKILI SERVIS; TUTARA GÖRE TÜKETICI HAKEM HEYETI VEYA MAHKEME</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Mert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Örnek Banka / Satıcı / Sigorta A.Ş.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Başvuru No: 2026-80150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Ayıplı Beyaz Eşya İade veya Değişim Dilekçesi kapsamında ayıpsız misliyle değişim veya bedel iadesi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08.02.2026 — gerçek belge tarihini yazınız</w:t>
            </w:r>
          </w:p>
        </w:tc>
      </w:tr>
    </w:tbl>
    <w:p>
      <w:pPr>
        <w:pStyle w:val="Heading1"/>
      </w:pPr>
      <w:r>
        <w:t>AÇIKLAMALAR</w:t>
      </w:r>
    </w:p>
    <w:p>
      <w:pPr>
        <w:keepLines w:val="0"/>
        <w:ind w:firstLine="340"/>
      </w:pPr>
      <w:r>
        <w:rPr>
          <w:b/>
          <w:color w:val="1E3A8A"/>
        </w:rPr>
        <w:t xml:space="preserve">1. </w:t>
      </w:r>
      <w:r>
        <w:t>Örnek olayda Kurulumdan itibaren soğutmayan buzdolabı için tekrarlanan servis işlemleri sonrası değişim istenir. Başvurucu, uyuşmazlığı 08.02.2026 tarihinde öğrenmiş; ilk yazılı başvurusunu 17.03.2026 tarihinde yapmıştır. Bu tarihler yalnız örnek olup gerçek dosyadaki tebliğ, öğrenme veya işlem tarihleriyle değiştirilmelidir.</w:t>
      </w:r>
    </w:p>
    <w:p>
      <w:pPr>
        <w:keepLines w:val="0"/>
        <w:ind w:firstLine="340"/>
      </w:pPr>
      <w:r>
        <w:rPr>
          <w:b/>
          <w:color w:val="1E3A8A"/>
        </w:rPr>
        <w:t xml:space="preserve">2. </w:t>
      </w:r>
      <w:r>
        <w:t>Ürün marka/model/seri no tarih, yer, kişi ve belge bağlantısıyla açıklanır. Ürün marka/model/seri no bakımından olayın başlangıcı, tarafların sıfatı ve işlem tarihi birlikte gösterilmiştir. Bu olgu Fatura ile doğrulanmakta; belge Ek-1 olarak sunulmaktadır.</w:t>
      </w:r>
    </w:p>
    <w:p>
      <w:pPr>
        <w:keepLines w:val="0"/>
        <w:ind w:firstLine="340"/>
      </w:pPr>
      <w:r>
        <w:rPr>
          <w:b/>
          <w:color w:val="1E3A8A"/>
        </w:rPr>
        <w:t xml:space="preserve">3. </w:t>
      </w:r>
      <w:r>
        <w:t>Teslim ve kurulum tarihi tarih, yer, kişi ve belge bağlantısıyla açıklanır. Teslim ve kurulum tarihi yönünden yalnız sonuç belirtilmemiş, işlemin nasıl gerçekleştiği ve başvurucunun hangi hakkının etkilendiği açıklanmıştır. Garanti belgesi, iddiayı doğrulayan temel kayıt olarak Ek-2 numarasıyla dosyaya eklenmiştir.</w:t>
      </w:r>
    </w:p>
    <w:p>
      <w:pPr>
        <w:keepLines w:val="0"/>
        <w:ind w:firstLine="340"/>
      </w:pPr>
      <w:r>
        <w:rPr>
          <w:b/>
          <w:color w:val="1E3A8A"/>
        </w:rPr>
        <w:t xml:space="preserve">4. </w:t>
      </w:r>
      <w:r>
        <w:t>Arızanın niteliği tarih, yer, kişi ve belge bağlantısıyla açıklanır. Arızanın niteliği somutlaştırılırken tarih sırası korunmuş ve karşı tarafın ya da kurumun işlemi açıkça gösterilmiştir. Kurulum ve servis fişleri üzerinde yer alan tarih ve kayıt numarası dilekçedeki anlatımla uyumludur.</w:t>
      </w:r>
    </w:p>
    <w:p>
      <w:pPr>
        <w:keepLines w:val="0"/>
        <w:ind w:firstLine="340"/>
      </w:pPr>
      <w:r>
        <w:rPr>
          <w:b/>
          <w:color w:val="1E3A8A"/>
        </w:rPr>
        <w:t xml:space="preserve">5. </w:t>
      </w:r>
      <w:r>
        <w:t>Servis müdahaleleri tarih, yer, kişi ve belge bağlantısıyla açıklanır. Servis müdahaleleri başlığı altında başvurunun hukuki yararı açıklanmıştır. İstenen sonucun neden gerekli olduğu, Fotoğraf/video ile talep arasındaki bağlantı kurularak gösterilmiştir.</w:t>
      </w:r>
    </w:p>
    <w:p>
      <w:pPr>
        <w:keepLines w:val="0"/>
        <w:ind w:firstLine="340"/>
      </w:pPr>
      <w:r>
        <w:rPr>
          <w:b/>
          <w:color w:val="1E3A8A"/>
        </w:rPr>
        <w:t xml:space="preserve">6. </w:t>
      </w:r>
      <w:r>
        <w:t>Seçilen tüketici hakkı tarih, yer, kişi ve belge bağlantısıyla açıklanır. Seçilen tüketici hakkı konusunda örnek olayın özel koşulları belirtilmiş; varsayıma dayalı ifade kullanılmamıştır. Enerji/hasar kayıtları mevcut değilse belgenin hangi kurumdan ve hangi dönem için getirtilmesi istendiği ayrıca yazılmalıdır.</w:t>
      </w:r>
    </w:p>
    <w:p>
      <w:pPr>
        <w:pStyle w:val="Heading1"/>
      </w:pPr>
      <w:r>
        <w:t>HUKUKİ DEĞERLENDİRME</w:t>
      </w:r>
    </w:p>
    <w:p>
      <w:r>
        <w:t>Başvurunun hukuki dayanağı 6502 sayılı Kanun; Garanti Belgesi Yönetmeliği; Satış Sonrası Hizmetler Yönetmeliği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6502 sayılı Kanun</w:t>
      </w:r>
    </w:p>
    <w:p>
      <w:r>
        <w:t>6502 sayılı Kanun hükümleri başvurunun maddi ve usul şartlarını belirler. Güncel resmî metin, tebliğ ve işlem tarihinde birlikte değerlendirilir.</w:t>
      </w:r>
    </w:p>
    <w:p>
      <w:pPr>
        <w:pStyle w:val="Heading2"/>
      </w:pPr>
      <w:r>
        <w:t>Garanti Belgesi Yönetmeliği</w:t>
      </w:r>
    </w:p>
    <w:p>
      <w:r>
        <w:t>Garanti Belgesi Yönetmeliği hükümleri başvurunun maddi ve usul şartlarını belirler. Güncel resmî metin, tebliğ ve işlem tarihinde birlikte değerlendirilir.</w:t>
      </w:r>
    </w:p>
    <w:p>
      <w:pPr>
        <w:pStyle w:val="Heading2"/>
      </w:pPr>
      <w:r>
        <w:t>Satış Sonrası Hizmetler Yönetmeliği</w:t>
      </w:r>
    </w:p>
    <w:p>
      <w:r>
        <w:t>Satış Sonrası Hizmetler Yönetmeliği hükümleri başvurunun maddi ve usul şartlarını belirler. Güncel resmî metin, tebliğ ve işlem tarihinde birlikte değerlendirilir.</w:t>
      </w:r>
    </w:p>
    <w:p>
      <w:pPr>
        <w:pStyle w:val="Heading1"/>
      </w:pPr>
      <w:r>
        <w:t>DELİLLER</w:t>
      </w:r>
    </w:p>
    <w:p>
      <w:r>
        <w:t>1. Ek-1: Fatura — ilgili olay paragrafını doğrulayan tarihli ve okunaklı kayıt.</w:t>
      </w:r>
    </w:p>
    <w:p>
      <w:r>
        <w:t>2. Ek-2: Garanti belgesi — ilgili olay paragrafını doğrulayan tarihli ve okunaklı kayıt.</w:t>
      </w:r>
    </w:p>
    <w:p>
      <w:r>
        <w:t>3. Ek-3: Kurulum ve servis fişleri — ilgili olay paragrafını doğrulayan tarihli ve okunaklı kayıt.</w:t>
      </w:r>
    </w:p>
    <w:p>
      <w:r>
        <w:t>4. Ek-4: Fotoğraf/video — ilgili olay paragrafını doğrulayan tarihli ve okunaklı kayıt.</w:t>
      </w:r>
    </w:p>
    <w:p>
      <w:r>
        <w:t>5. Ek-5: Enerji/hasar kayıtları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6502 sayılı Kanun; Garanti Belgesi Yönetmeliği; Satış Sonrası Hizmetler Yönetmeliği ve somut olaya uygulanacak diğer mevzuat.</w:t>
      </w:r>
    </w:p>
    <w:p>
      <w:pPr>
        <w:pStyle w:val="Heading1"/>
      </w:pPr>
      <w:r>
        <w:t>SONUÇ VE İSTEM</w:t>
      </w:r>
    </w:p>
    <w:p>
      <w:pPr>
        <w:keepNext/>
      </w:pPr>
      <w:r>
        <w:t>Yukarıda açıklanan ve resen dikkate alınacak nedenlerle;</w:t>
      </w:r>
    </w:p>
    <w:p>
      <w:r>
        <w:t>1. Ayıpsız misliyle değişim veya bedel iadesi.</w:t>
      </w:r>
    </w:p>
    <w:p>
      <w:r>
        <w:t>2. Nakliye ve kurulumun ücretsiz yapılması.</w:t>
      </w:r>
    </w:p>
    <w:p>
      <w:r>
        <w:t>3. Maddi zararların değerlendirilmesi.</w:t>
      </w:r>
    </w:p>
    <w:p>
      <w:r>
        <w:t>4.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17.03.2026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Mert Yılmaz</w:t>
              <w:br/>
              <w:t>İmza</w:t>
            </w:r>
          </w:p>
        </w:tc>
      </w:tr>
    </w:tbl>
    <w:p>
      <w:pPr>
        <w:pStyle w:val="Heading1"/>
      </w:pPr>
      <w:r>
        <w:t>EKLER</w:t>
      </w:r>
    </w:p>
    <w:p>
      <w:r>
        <w:t>1. Fatura</w:t>
      </w:r>
    </w:p>
    <w:p>
      <w:r>
        <w:t>2. Garanti belgesi</w:t>
      </w:r>
    </w:p>
    <w:p>
      <w:r>
        <w:t>3. Kurulum ve servis fişleri</w:t>
      </w:r>
    </w:p>
    <w:p>
      <w:r>
        <w:t>4. Fotoğraf/video</w:t>
      </w:r>
    </w:p>
    <w:p>
      <w:r>
        <w:t>5. Enerji/hasar kayıtları</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Satıcı, üretici/ithalatçı ve yetkili servis; tutara göre tüketici hakem heyeti veya mahkeme</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Ayıp fark edilince gecikmeden; 6502 sayılı Kanun kapsamındaki zamanaşımı içinde.</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Montaj, arıza, servis ve kullanım koşulları belgelenir; seçimlik hak tek ve açık yazılır.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08.02.2026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Fatura</w:t>
            </w:r>
          </w:p>
        </w:tc>
      </w:tr>
      <w:tr>
        <w:tc>
          <w:tcPr>
            <w:tcW w:type="dxa" w:w="3457"/>
            <w:tcMar>
              <w:top w:w="110" w:type="dxa"/>
              <w:start w:w="120" w:type="dxa"/>
              <w:bottom w:w="110" w:type="dxa"/>
              <w:end w:w="120" w:type="dxa"/>
            </w:tcMar>
          </w:tcPr>
          <w:p>
            <w:r>
              <w:t>17.03.2026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Garanti belgesi</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Kurulum ve servis fişleri</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Ürün marka/model/seri no</w:t>
            </w:r>
          </w:p>
        </w:tc>
        <w:tc>
          <w:tcPr>
            <w:tcW w:type="dxa" w:w="3457"/>
            <w:tcMar>
              <w:top w:w="110" w:type="dxa"/>
              <w:start w:w="120" w:type="dxa"/>
              <w:bottom w:w="110" w:type="dxa"/>
              <w:end w:w="120" w:type="dxa"/>
            </w:tcMar>
          </w:tcPr>
          <w:p>
            <w:r>
              <w:t>Fatura</w:t>
            </w:r>
          </w:p>
        </w:tc>
        <w:tc>
          <w:tcPr>
            <w:tcW w:type="dxa" w:w="3457"/>
            <w:tcMar>
              <w:top w:w="110" w:type="dxa"/>
              <w:start w:w="120" w:type="dxa"/>
              <w:bottom w:w="110" w:type="dxa"/>
              <w:end w:w="120" w:type="dxa"/>
            </w:tcMar>
          </w:tcPr>
          <w:p>
            <w:r>
              <w:t>Ayıpsız misliyle değişim veya bedel iadesi</w:t>
            </w:r>
          </w:p>
        </w:tc>
      </w:tr>
      <w:tr>
        <w:tc>
          <w:tcPr>
            <w:tcW w:type="dxa" w:w="3457"/>
            <w:tcMar>
              <w:top w:w="110" w:type="dxa"/>
              <w:start w:w="120" w:type="dxa"/>
              <w:bottom w:w="110" w:type="dxa"/>
              <w:end w:w="120" w:type="dxa"/>
            </w:tcMar>
          </w:tcPr>
          <w:p>
            <w:r>
              <w:t>Teslim ve kurulum tarihi</w:t>
            </w:r>
          </w:p>
        </w:tc>
        <w:tc>
          <w:tcPr>
            <w:tcW w:type="dxa" w:w="3457"/>
            <w:tcMar>
              <w:top w:w="110" w:type="dxa"/>
              <w:start w:w="120" w:type="dxa"/>
              <w:bottom w:w="110" w:type="dxa"/>
              <w:end w:w="120" w:type="dxa"/>
            </w:tcMar>
          </w:tcPr>
          <w:p>
            <w:r>
              <w:t>Garanti belgesi</w:t>
            </w:r>
          </w:p>
        </w:tc>
        <w:tc>
          <w:tcPr>
            <w:tcW w:type="dxa" w:w="3457"/>
            <w:tcMar>
              <w:top w:w="110" w:type="dxa"/>
              <w:start w:w="120" w:type="dxa"/>
              <w:bottom w:w="110" w:type="dxa"/>
              <w:end w:w="120" w:type="dxa"/>
            </w:tcMar>
          </w:tcPr>
          <w:p>
            <w:r>
              <w:t>Nakliye ve kurulumun ücretsiz yapılması</w:t>
            </w:r>
          </w:p>
        </w:tc>
      </w:tr>
      <w:tr>
        <w:tc>
          <w:tcPr>
            <w:tcW w:type="dxa" w:w="3457"/>
            <w:tcMar>
              <w:top w:w="110" w:type="dxa"/>
              <w:start w:w="120" w:type="dxa"/>
              <w:bottom w:w="110" w:type="dxa"/>
              <w:end w:w="120" w:type="dxa"/>
            </w:tcMar>
          </w:tcPr>
          <w:p>
            <w:r>
              <w:t>Arızanın niteliği</w:t>
            </w:r>
          </w:p>
        </w:tc>
        <w:tc>
          <w:tcPr>
            <w:tcW w:type="dxa" w:w="3457"/>
            <w:tcMar>
              <w:top w:w="110" w:type="dxa"/>
              <w:start w:w="120" w:type="dxa"/>
              <w:bottom w:w="110" w:type="dxa"/>
              <w:end w:w="120" w:type="dxa"/>
            </w:tcMar>
          </w:tcPr>
          <w:p>
            <w:r>
              <w:t>Kurulum ve servis fişleri</w:t>
            </w:r>
          </w:p>
        </w:tc>
        <w:tc>
          <w:tcPr>
            <w:tcW w:type="dxa" w:w="3457"/>
            <w:tcMar>
              <w:top w:w="110" w:type="dxa"/>
              <w:start w:w="120" w:type="dxa"/>
              <w:bottom w:w="110" w:type="dxa"/>
              <w:end w:w="120" w:type="dxa"/>
            </w:tcMar>
          </w:tcPr>
          <w:p>
            <w:r>
              <w:t>Maddi zararların değerlendirilmesi</w:t>
            </w:r>
          </w:p>
        </w:tc>
      </w:tr>
      <w:tr>
        <w:tc>
          <w:tcPr>
            <w:tcW w:type="dxa" w:w="3457"/>
            <w:tcMar>
              <w:top w:w="110" w:type="dxa"/>
              <w:start w:w="120" w:type="dxa"/>
              <w:bottom w:w="110" w:type="dxa"/>
              <w:end w:w="120" w:type="dxa"/>
            </w:tcMar>
          </w:tcPr>
          <w:p>
            <w:r>
              <w:t>Servis müdahaleleri</w:t>
            </w:r>
          </w:p>
        </w:tc>
        <w:tc>
          <w:tcPr>
            <w:tcW w:type="dxa" w:w="3457"/>
            <w:tcMar>
              <w:top w:w="110" w:type="dxa"/>
              <w:start w:w="120" w:type="dxa"/>
              <w:bottom w:w="110" w:type="dxa"/>
              <w:end w:w="120" w:type="dxa"/>
            </w:tcMar>
          </w:tcPr>
          <w:p>
            <w:r>
              <w:t>Fotoğraf/video</w:t>
            </w:r>
          </w:p>
        </w:tc>
        <w:tc>
          <w:tcPr>
            <w:tcW w:type="dxa" w:w="3457"/>
            <w:tcMar>
              <w:top w:w="110" w:type="dxa"/>
              <w:start w:w="120" w:type="dxa"/>
              <w:bottom w:w="110" w:type="dxa"/>
              <w:end w:w="120" w:type="dxa"/>
            </w:tcMar>
          </w:tcPr>
          <w:p>
            <w:r>
              <w:t>Ayıpsız misliyle değişim veya bedel iadesi</w:t>
            </w:r>
          </w:p>
        </w:tc>
      </w:tr>
      <w:tr>
        <w:tc>
          <w:tcPr>
            <w:tcW w:type="dxa" w:w="3457"/>
            <w:tcMar>
              <w:top w:w="110" w:type="dxa"/>
              <w:start w:w="120" w:type="dxa"/>
              <w:bottom w:w="110" w:type="dxa"/>
              <w:end w:w="120" w:type="dxa"/>
            </w:tcMar>
          </w:tcPr>
          <w:p>
            <w:r>
              <w:t>Seçilen tüketici hakkı</w:t>
            </w:r>
          </w:p>
        </w:tc>
        <w:tc>
          <w:tcPr>
            <w:tcW w:type="dxa" w:w="3457"/>
            <w:tcMar>
              <w:top w:w="110" w:type="dxa"/>
              <w:start w:w="120" w:type="dxa"/>
              <w:bottom w:w="110" w:type="dxa"/>
              <w:end w:w="120" w:type="dxa"/>
            </w:tcMar>
          </w:tcPr>
          <w:p>
            <w:r>
              <w:t>Enerji/hasar kayıtları</w:t>
            </w:r>
          </w:p>
        </w:tc>
        <w:tc>
          <w:tcPr>
            <w:tcW w:type="dxa" w:w="3457"/>
            <w:tcMar>
              <w:top w:w="110" w:type="dxa"/>
              <w:start w:w="120" w:type="dxa"/>
              <w:bottom w:w="110" w:type="dxa"/>
              <w:end w:w="120" w:type="dxa"/>
            </w:tcMar>
          </w:tcPr>
          <w:p>
            <w:r>
              <w:t>Nakliye ve kurulumun ücretsiz yapılması</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Ayıp fark edilince gecikmeden; 6502 sayılı Kanun kapsamındaki zamanaşımı içinde.</w:t>
      </w:r>
    </w:p>
    <w:p>
      <w:r>
        <w:t>• Görev/yetki riski: Satıcı, üretici/ithalatçı ve yetkili servis; tutara göre tüketici hakem heyeti veya mahkeme</w:t>
      </w:r>
    </w:p>
    <w:p>
      <w:r>
        <w:t>• Ön koşul riski: Montaj, arıza, servis ve kullanım koşulları belgelenir; seçimlik hak tek ve açık yazılır.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Ayıplı Beyaz Eşya İade veya Değişim Dilekçesi Örneği 2026 | Word İndir</dc:title>
  <dc:subject>ayıplı beyaz eşya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