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6"/>
        </w:rPr>
        <w:t>T.C. [YER] ASLİYE TİCARET MAHKEMESİNE</w:t>
      </w:r>
    </w:p>
    <w:p>
      <w:r>
        <w:rPr>
          <w:b/>
        </w:rPr>
        <w:t>ESAS NO</w:t>
      </w:r>
      <w:r>
        <w:t xml:space="preserve"> : [20../... E.]</w:t>
      </w:r>
    </w:p>
    <w:p>
      <w:r>
        <w:rPr>
          <w:b/>
        </w:rPr>
        <w:t>DAVALI</w:t>
      </w:r>
      <w:r>
        <w:t xml:space="preserve"> : [Ad/unvan, T.C./vergi no ve adres]</w:t>
      </w:r>
    </w:p>
    <w:p>
      <w:r>
        <w:rPr>
          <w:b/>
        </w:rPr>
        <w:t>VEKİLİ</w:t>
      </w:r>
      <w:r>
        <w:t xml:space="preserve"> : Av. Halil BAKIRCI, Mersin Barosu Sicil No 3472</w:t>
      </w:r>
    </w:p>
    <w:p>
      <w:r>
        <w:rPr>
          <w:b/>
        </w:rPr>
        <w:t>DAVACI</w:t>
      </w:r>
      <w:r>
        <w:t xml:space="preserve"> : [Ad/unvan ve adres]</w:t>
      </w:r>
    </w:p>
    <w:p>
      <w:r>
        <w:rPr>
          <w:b/>
        </w:rPr>
        <w:t>KONU</w:t>
      </w:r>
      <w:r>
        <w:t xml:space="preserve"> : Davacının genel ve eşleştirilmemiş delil listesindeki her delilin hangi somut vakıa için gösterildiğinin HMK m. 194/2 ve m. 31 uyarınca açıklattırılması; sunulmayan belgeler için HMK m. 140/5 işleminin uygulanması ve çekişmeli hususların ön inceleme tutanağında tek tek belirlenmesi talebidir.</w:t>
      </w:r>
    </w:p>
    <w:p>
      <w:pPr>
        <w:keepNext/>
      </w:pPr>
      <w:r>
        <w:rPr>
          <w:b/>
        </w:rPr>
        <w:t>AÇIKLAMALAR</w:t>
      </w:r>
    </w:p>
    <w:p>
      <w:r>
        <w:t>1. Davacı, [Ocak–Haziran 2026] döneminde sunduğunu ileri sürdüğü danışmanlık hizmetleri nedeniyle [38] faturadan toplam [1.250.000 TL] alacak talep etmektedir. Dava dilekçesi tarafımıza [tebliğ tarihi] tarihinde tebliğ edilmiştir.</w:t>
      </w:r>
    </w:p>
    <w:p>
      <w:r>
        <w:t>2. Dava dilekçesinde faturaların hangi proje, sipariş, hizmet, teslim veya kabul işlemine dayandığı ayrı vakıalar hâlinde gösterilmemiştir. Deliller bölümünde yalnız “sözleşme, faturalar, ticari defterler, banka kayıtları, e-posta, tanık, bilirkişi, keşif, yemin ve her türlü yasal delil” yazılmıştır.</w:t>
      </w:r>
    </w:p>
    <w:p>
      <w:r>
        <w:t>3. Örneğin [8] numaralı faturanın hangi teslim veya kabul kaydına, [14] numaralı faturanın hangi e-postaya ve [22] numaralı faturanın hangi banka/defter kaydına dayandığı açıklanmamıştır. Bazı faturalar başka projelere aittir; iki fatura [tarih] banka işlemleriyle ödenmiştir. Belirsizlik, savunma ve karşı delilin hedefini belirlemeyi engellemektedir.</w:t>
      </w:r>
    </w:p>
    <w:p>
      <w:r>
        <w:t>4. HMK m. 119/1-e ve f, davacının bütün dayanak vakıalarını sıra numarası altında açıkça özetlemesini ve her vakıanın hangi delillerle ispat edileceğini göstermesini; HMK m. 194/1-2 ise vakıaların ispata elverişli biçimde somutlaştırılmasını ve her delilin bağlı olduğu vakıanın açıkça belirtilmesini zorunlu kılar.</w:t>
      </w:r>
    </w:p>
    <w:p>
      <w:pPr>
        <w:keepNext/>
      </w:pPr>
      <w:r>
        <w:rPr>
          <w:b/>
        </w:rPr>
        <w:t>AÇIKLAMA TALEBİNİN KAPSAMI VE SINIRI</w:t>
      </w:r>
    </w:p>
    <w:p>
      <w:r>
        <w:t>1. HMK m. 31 uyarınca hâkim, uyuşmazlığın aydınlatılması için maddi veya hukuki açıdan belirsiz yahut çelişkili gördüğü hususlar hakkında açıklama yaptırabilir, soru sorabilir ve delil gösterilmesini isteyebilir. Davacının mevcut vakıa ve delilleri arasındaki bağ bu kapsamda açıklattırılmalıdır.</w:t>
      </w:r>
    </w:p>
    <w:p>
      <w:r>
        <w:t>2. Talebimiz davacıya yeni vakıa veya yeni delil ileri sürme süresi verilmesi değildir. Açıklama, yalnız süresinde ileri sürülmüş vakıa ve delillerin bağını göstermelidir. HMK m. 141’deki iddia ve savunmayı genişletme yasağı ile HMK m. 145’teki sonradan delil gösterme koşulları saklıdır.</w:t>
      </w:r>
    </w:p>
    <w:p>
      <w:r>
        <w:t>3. HMK m. 119/1-f eksikliği, aynı maddenin ikinci fıkrasında otomatik bir haftalık kesin süre ve dava açılmamış sayılma sonucuna bağlanan eksiklikler arasında değildir. Bu nedenle kanunda bulunmayan otomatik yaptırım değil, açıklama ve ilgili süre hükümlerinin uygulanması istenmektedir.</w:t>
      </w:r>
    </w:p>
    <w:p>
      <w:pPr>
        <w:keepNext/>
      </w:pPr>
      <w:r>
        <w:rPr>
          <w:b/>
        </w:rPr>
        <w:t>İSTENEN VAKIA–DELİL EŞLEŞTİRMESİ</w:t>
      </w:r>
    </w:p>
    <w:p>
      <w:r>
        <w:t>1. Her fatura için; fatura numarası/tarihi/tutarı, proje veya sipariş, hizmetin ifa tarihi, teslim/kabul işlemi, muacceliyet ve ödeme durumu ayrı vakıa numarasıyla bildirilmelidir.</w:t>
      </w:r>
    </w:p>
    <w:p>
      <w:r>
        <w:t>2. Her vakıa numarasının karşısında dayanak sözleşme maddesi, fatura, teslim/kabul belgesi, e-posta veya KEP, banka işlemi, ticari defter kaydı ve varsa tanığın hangi vakıa hakkında dinleneceği ayrı ayrı gösterilmelidir.</w:t>
      </w:r>
    </w:p>
    <w:p>
      <w:r>
        <w:t>3. Başka yerden getirilecek kayıtlar bakımından banka/kurum adı, hesap veya kayıt tanımlayıcısı ve tarih aralığı yazılmalıdır. Bilirkişi incelemesinin hangi hesaplama veya teknik uyuşmazlığa ilişkin olduğu belirtilmelidir.</w:t>
      </w:r>
    </w:p>
    <w:p>
      <w:pPr>
        <w:keepNext/>
      </w:pPr>
      <w:r>
        <w:rPr>
          <w:b/>
        </w:rPr>
        <w:t>ÖN İNCELEME VE BELGE SUNMA İŞLEMİ</w:t>
      </w:r>
    </w:p>
    <w:p>
      <w:r>
        <w:t>1. HMK m. 140/1 ve 3 uyarınca anlaşılan ve anlaşılamayan hususlar tek tek belirlenmeli; tahkikat bu tutanak esas alınarak yürütülmelidir. Açıklamadan sonra her fatura bakımından hizmet, teslim/kabul, muacceliyet, ödeme ve mahsup uyuşmazlıkları ayrı yazılmalıdır.</w:t>
      </w:r>
    </w:p>
    <w:p>
      <w:r>
        <w:t>2. Davacının dilekçesinde gösterdiği fakat henüz sunmadığı belgeler varsa HMK m. 140/5 uyarınca bunları sunması veya başka yerden getirtilmesi için gereken açıklamayı yapması amacıyla iki haftalık kesin süre verilmelidir. Kanuni sürede tam olarak yerine getirilmeyen delil bakımından hükümdeki sonuç uygulanmalıdır.</w:t>
      </w:r>
    </w:p>
    <w:p>
      <w:r>
        <w:br w:type="page"/>
      </w:r>
    </w:p>
    <w:p>
      <w:pPr>
        <w:keepNext/>
      </w:pPr>
      <w:r>
        <w:rPr>
          <w:b/>
        </w:rPr>
        <w:t>HUKUKİ SEBEPLER</w:t>
      </w:r>
    </w:p>
    <w:p>
      <w:r>
        <w:t>6100 sayılı Hukuk Muhakemeleri Kanunu m. 27, 30, 31, 119, 121, 136, 140, 141, 145, 189, 194, 195 ve ilgili diğer mevzuat.</w:t>
      </w:r>
    </w:p>
    <w:p>
      <w:pPr>
        <w:keepNext/>
      </w:pPr>
      <w:r>
        <w:rPr>
          <w:b/>
        </w:rPr>
        <w:t>DELİLLER</w:t>
      </w:r>
    </w:p>
    <w:p>
      <w:r>
        <w:t>Dava dilekçesi ve tebliğ mazbatası; davacının genel delil listesi; [38] fatura listesi; proje/sipariş kayıtları; teslim ve kabul belgeleri; banka dekontları; taraf yazışmaları; ön inceleme tutanağı; UYAP evrakı ve ilgili diğer yasal deliller.</w:t>
      </w:r>
    </w:p>
    <w:p>
      <w:pPr>
        <w:keepNext/>
      </w:pPr>
      <w:r>
        <w:rPr>
          <w:b/>
        </w:rPr>
        <w:t>SONUÇ VE İSTEM</w:t>
      </w:r>
    </w:p>
    <w:p>
      <w:pPr>
        <w:keepLines/>
      </w:pPr>
      <w:r>
        <w:t>Açıklanan nedenlerle; (1) Davacıya [38] faturanın her biri bakımından dayandığı maddi vakıaları fatura, proje/sipariş, hizmet, teslim/kabul, muacceliyet ve ödeme bilgileriyle ayrı numaralar altında açıklattırılmasına, (2) her delilin hangi numaralı vakıayı ispat amacıyla gösterildiğinin HMK m. 194/2’ye uygun bir eşleştirme tablosuyla bildirilmesine, (3) başka yerden getirilecek kayıtların kurum, hesap/kayıt tanımlayıcısı ve tarih aralığının açıklanmasına, (4) bu açıklamanın yeni vakıa veya yeni delil ileri sürme süresi olmadığı ve HMK m. 141 ile 145 hükümlerinin saklı olduğunun gözetilmesine, (5) dilekçede gösterilmiş fakat sunulmamış belgeler için HMK m. 140/5 uyarınca iki haftalık kesin süre verilerek kanuni sonucunun ihtarına, (6) açıklama sonrasında anlaşılan ve anlaşılamayan hususların HMK m. 140 uyarınca ön inceleme tutanağında tek tek belirlenmesine karar verilmesini saygıyla arz ve talep ederiz. 30/09/2026</w:t>
      </w:r>
    </w:p>
    <w:p>
      <w:pPr>
        <w:jc w:val="right"/>
      </w:pPr>
      <w:r>
        <w:t>Davalı Vekili</w:t>
        <w:br/>
        <w:t>Av. Halil BAKIRCI</w:t>
        <w:br/>
        <w:t>Mersin Barosu Sicil No 3472</w:t>
        <w:br/>
        <w:t>(E-İMZALIDIR)</w:t>
      </w:r>
    </w:p>
    <w:p>
      <w:pPr>
        <w:keepNext/>
      </w:pPr>
      <w:r>
        <w:rPr>
          <w:b/>
        </w:rPr>
        <w:t>EKLER</w:t>
      </w:r>
    </w:p>
    <w:p>
      <w:pPr>
        <w:pStyle w:val="ListBullet"/>
      </w:pPr>
      <w:r>
        <w:t>Ek-1: Dava dilekçesi ve genel delil listesinin ilgili sayfaları</w:t>
      </w:r>
    </w:p>
    <w:p>
      <w:pPr>
        <w:pStyle w:val="ListBullet"/>
      </w:pPr>
      <w:r>
        <w:t>Ek-2: Fatura numarası, tarih ve tutar karşılaştırma tablosu</w:t>
      </w:r>
    </w:p>
    <w:p>
      <w:pPr>
        <w:pStyle w:val="ListBullet"/>
      </w:pPr>
      <w:r>
        <w:t>Ek-3: Ödeme dekontları ve proje/sipariş kayıtları</w:t>
      </w:r>
    </w:p>
    <w:p>
      <w:pPr>
        <w:pStyle w:val="ListBullet"/>
      </w:pPr>
      <w:r>
        <w:t>Ek-4: Varsa taraf yazışmaları ve kabul/teslim belgeleri</w:t>
      </w:r>
    </w:p>
    <w:p>
      <w:pPr>
        <w:keepNext/>
      </w:pPr>
      <w:r>
        <w:rPr>
          <w:b/>
        </w:rPr>
        <w:t>DOLDURMA KONTROLÜ — SUNULACAK NÜSHADAN ÇIKARIN</w:t>
      </w:r>
    </w:p>
    <w:p>
      <w:pPr>
        <w:pStyle w:val="ListBullet"/>
      </w:pPr>
      <w:r>
        <w:rPr>
          <w:i/>
        </w:rPr>
        <w:t>Mahkeme, esas numarası, taraflar ve tebliğ tarihini doldurun.</w:t>
      </w:r>
    </w:p>
    <w:p>
      <w:pPr>
        <w:pStyle w:val="ListBullet"/>
      </w:pPr>
      <w:r>
        <w:rPr>
          <w:i/>
        </w:rPr>
        <w:t>Fatura sayısı, dönem, tutar ve üç somut belirsizlik örneğini gerçek dosyaya göre değiştirin.</w:t>
      </w:r>
    </w:p>
    <w:p>
      <w:pPr>
        <w:pStyle w:val="ListBullet"/>
      </w:pPr>
      <w:r>
        <w:rPr>
          <w:i/>
        </w:rPr>
        <w:t>Davacının hangi sayfa ve bentte genel delil listesi verdiğini yazın.</w:t>
      </w:r>
    </w:p>
    <w:p>
      <w:pPr>
        <w:pStyle w:val="ListBullet"/>
      </w:pPr>
      <w:r>
        <w:rPr>
          <w:i/>
        </w:rPr>
        <w:t>Yeni vakıa/delil sunulmasını değil, mevcut beyanın açıklanmasını istediğinizi koruyun.</w:t>
      </w:r>
    </w:p>
    <w:p>
      <w:pPr>
        <w:pStyle w:val="ListBullet"/>
      </w:pPr>
      <w:r>
        <w:rPr>
          <w:i/>
        </w:rPr>
        <w:t>Sunulmayan belge varsa HMK 140/5 talebini somut belgeye bağlayın.</w:t>
      </w:r>
    </w:p>
    <w:p>
      <w:pPr>
        <w:pStyle w:val="ListBullet"/>
      </w:pPr>
      <w:r>
        <w:rPr>
          <w:i/>
        </w:rPr>
        <w:t>Köşeli alanları ve bu kontrol bölümünü nihai nüshadan çıkarın.</w:t>
      </w:r>
    </w:p>
    <w:sectPr w:rsidR="00FC693F" w:rsidRPr="0006063C" w:rsidSect="00034616">
      <w:pgSz w:w="12240" w:h="15840"/>
      <w:pgMar w:top="720" w:right="1008" w:bottom="677"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18"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