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071</w:t>
      </w:r>
    </w:p>
    <w:p>
      <w:pPr>
        <w:pStyle w:val="Title"/>
        <w:jc w:val="center"/>
      </w:pPr>
      <w:r>
        <w:t>Boşanma Davasına Cevap Dilekçesi Örneği</w:t>
      </w:r>
    </w:p>
    <w:p>
      <w:pPr>
        <w:jc w:val="center"/>
      </w:pPr>
      <w:r>
        <w:rPr>
          <w:i/>
          <w:color w:val="475569"/>
        </w:rPr>
        <w:t>Aile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Davaya bakan aile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 dilekçesinin tebliğinden itibaren iki haftadır.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Cevap hazırlanırken yalnız davacının iddiaları değil, çocuk ve mali sonuç talepleri de ayrı incelenmelidir.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TMK m. 161-184; HMK m. 127; HMK m. 129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Boşanma sebebi, kusur iddiaları, çocuklar ve mali talepler ayrı başlıklarda cevaplandırılmalı; hukuka aykırı delile dayanılmamalıdır.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DAVAYA BAKAN AILE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Haksız iddiaların reddi.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Dava dilekçesinin tebliğinden itibaren iki haftadır.</w:t>
      </w:r>
    </w:p>
    <w:p>
      <w:r>
        <w:t>2. Evlilik ve ayrılık kronolojisi: [SOMUT OLAYI TARİH, YER, KİŞİ VE BELGEYLE UYUMLU OLARAK AÇIKLAYIN].</w:t>
      </w:r>
    </w:p>
    <w:p>
      <w:r>
        <w:t>3. Davacının boşanma iddiaları: [SOMUT OLAYI TARİH, YER, KİŞİ VE BELGEYLE UYUMLU OLARAK AÇIKLAYIN].</w:t>
      </w:r>
    </w:p>
    <w:p>
      <w:r>
        <w:t>4. Tarafların kusur durumu: [SOMUT OLAYI TARİH, YER, KİŞİ VE BELGEYLE UYUMLU OLARAK AÇIKLAYIN].</w:t>
      </w:r>
    </w:p>
    <w:p>
      <w:r>
        <w:t>5. Çocukların yaşam düzeni: [SOMUT OLAYI TARİH, YER, KİŞİ VE BELGEYLE UYUMLU OLARAK AÇIKLAYIN].</w:t>
      </w:r>
    </w:p>
    <w:p>
      <w:r>
        <w:t>6. Nafaka ve tazminat talepleri: [SOMUT OLAYI TARİH, YER, KİŞİ VE BELGEYLE UYUMLU OLARAK AÇIKLAYIN].</w:t>
      </w:r>
    </w:p>
    <w:p>
      <w:r>
        <w:t>7. Temel hukuki sonuç: Boşanma sebebi, kusur iddiaları, çocuklar ve mali talepler ayrı başlıklarda cevaplandırılmalı; hukuka aykırı delile dayanılmamalıdır.</w:t>
      </w:r>
    </w:p>
    <w:p>
      <w:r>
        <w:t>8. Başvuru öncesi kontrol: Cevap hazırlanırken yalnız davacının iddiaları değil, çocuk ve mali sonuç talepleri de ayrı incelenmelidir.</w:t>
      </w:r>
    </w:p>
    <w:p>
      <w:pPr>
        <w:pStyle w:val="Heading1"/>
      </w:pPr>
      <w:r>
        <w:t>HUKUKİ NEDENLER</w:t>
      </w:r>
    </w:p>
    <w:p>
      <w:r>
        <w:t>TMK m. 161-184; HMK m. 127; HMK m. 129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Dava dilekçesi [EK NUMARASI / TARİH]</w:t>
      </w:r>
    </w:p>
    <w:p>
      <w:pPr>
        <w:pStyle w:val="ListBullet"/>
        <w:spacing w:after="60"/>
      </w:pPr>
      <w:r>
        <w:t>Nüfus ve evlilik kayıtları [EK NUMARASI / TARİH]</w:t>
      </w:r>
    </w:p>
    <w:p>
      <w:pPr>
        <w:pStyle w:val="ListBullet"/>
        <w:spacing w:after="60"/>
      </w:pPr>
      <w:r>
        <w:t>Mesaj ve yazışmalar [EK NUMARASI / TARİH]</w:t>
      </w:r>
    </w:p>
    <w:p>
      <w:pPr>
        <w:pStyle w:val="ListBullet"/>
        <w:spacing w:after="60"/>
      </w:pPr>
      <w:r>
        <w:t>Gelir ve gider belgeleri [EK NUMARASI / TARİH]</w:t>
      </w:r>
    </w:p>
    <w:p>
      <w:pPr>
        <w:pStyle w:val="ListBullet"/>
        <w:spacing w:after="60"/>
      </w:pPr>
      <w:r>
        <w:t>Tanık listesi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Haksız iddiaların reddi,</w:t>
      </w:r>
    </w:p>
    <w:p>
      <w:r>
        <w:t>2. Çocuk ve mali taleplerin somut delile göre düzenlenmesi,</w:t>
      </w:r>
    </w:p>
    <w:p>
      <w:r>
        <w:t>3. Yargılama giderleri,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Dava dilekçesi</w:t>
      </w:r>
    </w:p>
    <w:p>
      <w:r>
        <w:t>2. Nüfus ve evlilik kayıtları</w:t>
      </w:r>
    </w:p>
    <w:p>
      <w:r>
        <w:t>3. Mesaj ve yazışmalar</w:t>
      </w:r>
    </w:p>
    <w:p>
      <w:r>
        <w:t>4. Gelir ve gider belgeleri</w:t>
      </w:r>
    </w:p>
    <w:p>
      <w:r>
        <w:t>5. Tanık listesi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Dava dilekçesinin tebliğinden itibaren iki haftadır.</w:t>
      </w:r>
    </w:p>
    <w:p>
      <w:pPr>
        <w:pStyle w:val="Heading1"/>
      </w:pPr>
      <w:r>
        <w:t>Görev ve Yetki Kontrolü</w:t>
      </w:r>
    </w:p>
    <w:p>
      <w:r>
        <w:t>Davaya bakan aile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Evlilik ve ayrılık kronolojisi → Dava dilekçesi</w:t>
      </w:r>
    </w:p>
    <w:p>
      <w:pPr>
        <w:pStyle w:val="ListBullet"/>
        <w:spacing w:after="60"/>
      </w:pPr>
      <w:r>
        <w:t>Davacının boşanma iddiaları → Nüfus ve evlilik kayıtları</w:t>
      </w:r>
    </w:p>
    <w:p>
      <w:pPr>
        <w:pStyle w:val="ListBullet"/>
        <w:spacing w:after="60"/>
      </w:pPr>
      <w:r>
        <w:t>Tarafların kusur durumu → Mesaj ve yazışmalar</w:t>
      </w:r>
    </w:p>
    <w:p>
      <w:pPr>
        <w:pStyle w:val="ListBullet"/>
        <w:spacing w:after="60"/>
      </w:pPr>
      <w:r>
        <w:t>Çocukların yaşam düzeni → Gelir ve gider belgeleri</w:t>
      </w:r>
    </w:p>
    <w:p>
      <w:pPr>
        <w:pStyle w:val="ListBullet"/>
        <w:spacing w:after="60"/>
      </w:pPr>
      <w:r>
        <w:t>Nafaka ve tazminat talepleri → Tanık listesi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Boşanma Davasına Cevap Dilekçesi Örneği</dc:title>
  <dc:subject>Aile Hukuku</dc:subject>
  <dc:creator>Av. Halil Bakırcı</dc:creator>
  <cp:keywords>boşanma davasına cevap dilekçesi örneği, Word dilekçe, Aile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