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BOŞANMA KARŞI DAVA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AİLE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- KARŞI DAVACI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- KARŞI DAVALI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boşanma davasına cevapla birlikte bağımsız boşanma ve fer’î talepler içeren karşı dava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Karşı tarafın açtığı boşanma davası [TEBLİĞ TARİHİ] tarihinde müvekkile tebliğ edilmiş olup işbu cevap ve karşı dava süresinde sunulmaktadır.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Davacı-karşı davalı tarafından ileri sürülen kusur iddiaları gerçeği yansıtmamakta; evlilik birliğinin sarsılmasına neden olan temel olaylar karşı tarafın [SOMUT KUSUR OLAYLARI] davranışlarıdır.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Müvekkil evlilik birliğini sürdürmek için üzerine düşen yükümlülükleri yerine getirmiş; buna rağmen karşı tarafın süreklilik gösteren davranışları ortak hayatı çekilmez hâle getirmiştir.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Müşterek çocuk(lar)ın bakım, eğitim ve günlük yaşam düzeni fiilen müvekkil tarafından yürütülmekte olup velayet değerlendirmesinde çocuğun üstün yararı esas alınmalıdır.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Müvekkilin boşanma nedeniyle mevcut ve beklenen menfaatleri zedelenmiş ve kişilik hakları saldırıya uğramışsa TMK m.174 koşulları oluşmuştur.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HMK m.132 kapsamında asıl dava ile aynı hukuki ilişkiden doğan karşı dava birlikte görülmelidir.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4721 sayılı TMK m. 166, m. 169, m. 174, m. 175 ve m. 182; HMK m. 132 ve devamı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Nüfus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Mesaj/e-posta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Fotoğraf/video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Tanıklar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Sosyal ve ekonomik durum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Çocukların okul/sağlık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Banka ve harcama belgeleri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Asıl davanın haksız kusur iddiaları yönünden reddine,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Karşı davamızın kabulü ile tarafların boşanmalarına,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Müşterek çocuk(lar)ın velayetinin müvekkile verilmesine ve uygun kişisel ilişki kurulmasına,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Koşulları varsa maddi/manevi tazminat ve yoksulluk/iştirak nafakasına hükmedilmesine,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Yargılama giderleri ve vekâlet ücretinin karşı tarafa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- KARŞI DAVACI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Nüfus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Mesaj/e-posta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Fotoğraf/video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Tanıklar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Sosyal ve ekonomik durum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Çocukların okul/sağlık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Banka ve harcama belgeleri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Boşanma Karşı Dava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2026-09-10T22:16:32Z</dcterms:created>
  <dcterms:modified xsi:type="dcterms:W3CDTF">2026-09-10T22:16:32Z</dcterms:modified>
</cp:coreProperties>
</file>