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054</w:t>
      </w:r>
    </w:p>
    <w:p>
      <w:pPr>
        <w:pStyle w:val="Title"/>
        <w:jc w:val="center"/>
      </w:pPr>
      <w:r>
        <w:t>Cevap Süresinin Uzatılması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Talep asıl cevap süresi dolmadan yapılır. Yazılı yargılama usulünde bir defaya mahsus ve bir ayı; basit yargılama usulünde bir defaya mahsus ve iki haftayı geçmemek üzere ek süre verilebilir.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Ek süre istemi asıl cevap süresi dolmadan ve gerekçeli biçimde yapılmalıdır.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127; HMK m. 317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Ek süre talebinde, cevap hazırlamanın neden çok zor veya imkânsız olduğu somut dosya hacmi ve erişilemeyen belgelerle açıklanmalıdır.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Uygulanacak yargılama usulüne göre kanuni sınır içinde ek cevap süresi verilmesi.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Talep asıl cevap süresi dolmadan yapılır. Yazılı yargılama usulünde bir defaya mahsus ve bir ayı; basit yargılama usulünde bir defaya mahsus ve iki haftayı geçmemek üzere ek süre verilebilir.</w:t>
      </w:r>
    </w:p>
    <w:p>
      <w:r>
        <w:t>2. Dava dilekçesinin tebliği: [SOMUT OLAYI TARİH, YER, KİŞİ VE BELGEYLE UYUMLU OLARAK AÇIKLAYIN].</w:t>
      </w:r>
    </w:p>
    <w:p>
      <w:r>
        <w:t>3. Dosya ve eklerin hacmi: [SOMUT OLAYI TARİH, YER, KİŞİ VE BELGEYLE UYUMLU OLARAK AÇIKLAYIN].</w:t>
      </w:r>
    </w:p>
    <w:p>
      <w:r>
        <w:t>4. Erişilemeyen belgeler: [SOMUT OLAYI TARİH, YER, KİŞİ VE BELGEYLE UYUMLU OLARAK AÇIKLAYIN].</w:t>
      </w:r>
    </w:p>
    <w:p>
      <w:r>
        <w:t>5. İnceleme için gereken süre: [SOMUT OLAYI TARİH, YER, KİŞİ VE BELGEYLE UYUMLU OLARAK AÇIKLAYIN].</w:t>
      </w:r>
    </w:p>
    <w:p>
      <w:r>
        <w:t>6. Talep tarihi: [SOMUT OLAYI TARİH, YER, KİŞİ VE BELGEYLE UYUMLU OLARAK AÇIKLAYIN].</w:t>
      </w:r>
    </w:p>
    <w:p>
      <w:r>
        <w:t>7. Temel hukuki sonuç: Ek süre talebinde, cevap hazırlamanın neden çok zor veya imkânsız olduğu somut dosya hacmi ve erişilemeyen belgelerle açıklanmalıdır.</w:t>
      </w:r>
    </w:p>
    <w:p>
      <w:r>
        <w:t>8. Başvuru öncesi kontrol: Ek süre istemi asıl cevap süresi dolmadan ve gerekçeli biçimde yapılmalıdır.</w:t>
      </w:r>
    </w:p>
    <w:p>
      <w:pPr>
        <w:pStyle w:val="Heading1"/>
      </w:pPr>
      <w:r>
        <w:t>HUKUKİ NEDENLER</w:t>
      </w:r>
    </w:p>
    <w:p>
      <w:r>
        <w:t>HMK m. 127; HMK m. 317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Dava dilekçesi [EK NUMARASI / TARİH]</w:t>
      </w:r>
    </w:p>
    <w:p>
      <w:pPr>
        <w:pStyle w:val="ListBullet"/>
        <w:spacing w:after="60"/>
      </w:pPr>
      <w:r>
        <w:t>Ek klasör listesi [EK NUMARASI / TARİH]</w:t>
      </w:r>
    </w:p>
    <w:p>
      <w:pPr>
        <w:pStyle w:val="ListBullet"/>
        <w:spacing w:after="60"/>
      </w:pPr>
      <w:r>
        <w:t>Kurum yazışmaları [EK NUMARASI / TARİH]</w:t>
      </w:r>
    </w:p>
    <w:p>
      <w:pPr>
        <w:pStyle w:val="ListBullet"/>
        <w:spacing w:after="60"/>
      </w:pPr>
      <w:r>
        <w:t>Mazereti gösteren kayıtlar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Uygulanacak yargılama usulüne göre kanuni sınır içinde ek cevap süresi verilmesi,</w:t>
      </w:r>
    </w:p>
    <w:p>
      <w:r>
        <w:t>2. Ek sürenin cevap süresi bitiminden başlatılması,</w:t>
      </w:r>
    </w:p>
    <w:p>
      <w:r>
        <w:t>3. Talebin dosyada ivedi incelenmesi,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Tebligat belgesi</w:t>
      </w:r>
    </w:p>
    <w:p>
      <w:r>
        <w:t>2. Dava dilekçesi</w:t>
      </w:r>
    </w:p>
    <w:p>
      <w:r>
        <w:t>3. Ek klasör listesi</w:t>
      </w:r>
    </w:p>
    <w:p>
      <w:r>
        <w:t>4. Kurum yazışmaları</w:t>
      </w:r>
    </w:p>
    <w:p>
      <w:r>
        <w:t>5. Mazereti gösteren kayıtlar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Talep asıl cevap süresi dolmadan yapılır. Yazılı yargılama usulünde bir defaya mahsus ve bir ayı; basit yargılama usulünde bir defaya mahsus ve iki haftayı geçmemek üzere ek süre verilebilir.</w:t>
      </w:r>
    </w:p>
    <w:p>
      <w:pPr>
        <w:pStyle w:val="Heading1"/>
      </w:pPr>
      <w:r>
        <w:t>Görev ve Yetki Kontrolü</w:t>
      </w:r>
    </w:p>
    <w:p>
      <w:r>
        <w:t>Davaya bakan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Dava dilekçesinin tebliği → Tebligat belgesi</w:t>
      </w:r>
    </w:p>
    <w:p>
      <w:pPr>
        <w:pStyle w:val="ListBullet"/>
        <w:spacing w:after="60"/>
      </w:pPr>
      <w:r>
        <w:t>Dosya ve eklerin hacmi → Dava dilekçesi</w:t>
      </w:r>
    </w:p>
    <w:p>
      <w:pPr>
        <w:pStyle w:val="ListBullet"/>
        <w:spacing w:after="60"/>
      </w:pPr>
      <w:r>
        <w:t>Erişilemeyen belgeler → Ek klasör listesi</w:t>
      </w:r>
    </w:p>
    <w:p>
      <w:pPr>
        <w:pStyle w:val="ListBullet"/>
        <w:spacing w:after="60"/>
      </w:pPr>
      <w:r>
        <w:t>İnceleme için gereken süre → Kurum yazışmaları</w:t>
      </w:r>
    </w:p>
    <w:p>
      <w:pPr>
        <w:pStyle w:val="ListBullet"/>
        <w:spacing w:after="60"/>
      </w:pPr>
      <w:r>
        <w:t>Talep tarihi → Mazereti gösteren kayıtlar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Cevap Süresinin Uzatılması Dilekçesi Örneği</dc:title>
  <dc:subject>Hukuk Yargılaması</dc:subject>
  <dc:creator>Av. Halil Bakırcı</dc:creator>
  <cp:keywords>cevap süresi uzatım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