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102449"/>
          <w:sz w:val="30"/>
        </w:rPr>
        <w:t>ÇOCUKLA KIŞISEL İLIŞKININ DEĞIŞTIRILMESI DILEKÇESI ÖRNEĞI</w:t>
      </w:r>
    </w:p>
    <w:p>
      <w:pPr>
        <w:jc w:val="center"/>
      </w:pPr>
      <w:r>
        <w:rPr>
          <w:b/>
          <w:color w:val="C9A24D"/>
          <w:sz w:val="17"/>
        </w:rPr>
        <w:t>DÜZENLENEBİLİR WORD ŞABLONU • HUKUK KONTROLÜ: 2 Eylül 2026</w:t>
      </w:r>
    </w:p>
    <w:p>
      <w:pPr>
        <w:jc w:val="center"/>
      </w:pPr>
      <w:r>
        <w:rPr>
          <w:b/>
          <w:sz w:val="23"/>
        </w:rPr>
        <w:t>GÖREVLI MAHKEME AILE MAHKEMESIDIR. BAŞVURU MEVCUT KIŞISEL ILIŞKI KARARINI VEREN VEYA YETKI KURALLARINA GÖRE BELIRLENEN AILE MAHKEMESINE YAPILIR. SAYIN HÂKİMLİĞİNE / MAKAMINA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TALEPTE BULUNAN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[AD SOYAD / T.C. KİMLİK NO /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KARŞI TARAF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[AD SOYAD veya UNVAN / T.C.-VKN /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VEKİLİ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[VARSA AVUKAT ADI, BARO-SİCİL,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DOSYA NO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[ESAS / İCRA / SORUŞTURMA / KARAR NUMARASI]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KONU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Çocukla kişisel ilişkinin çocuğun üstün yararına uygun biçimde yeniden düzenlenmesi istemidir.</w:t>
            </w:r>
          </w:p>
        </w:tc>
      </w:tr>
    </w:tbl>
    <w:p>
      <w:pPr>
        <w:pStyle w:val="Heading1"/>
      </w:pPr>
      <w:r>
        <w:t>AÇIKLAMALAR</w:t>
      </w:r>
    </w:p>
    <w:p>
      <w:pPr/>
      <w:r>
        <w:rPr>
          <w:b/>
        </w:rPr>
        <w:t xml:space="preserve">1. </w:t>
      </w:r>
      <w:r>
        <w:t>Bu başvuru tMK 323 ve 324 uyarınca çocuk ile kişisel ilişki çocuğun huzuru ve gelişimi esas alınarak kurulur; mevcut gün ve saatler çocuğun eğitimine, sağlığına veya güvenliğine zarar veriyorsa mahkeme düzenlemeyi değiştirir.</w:t>
      </w:r>
    </w:p>
    <w:p>
      <w:pPr/>
      <w:r>
        <w:rPr>
          <w:b/>
        </w:rPr>
        <w:t xml:space="preserve">2. </w:t>
      </w:r>
      <w:r>
        <w:t>[MEVCUT KARAR] kişisel ilişkiyi [GÜN/SAAT] olarak düzenledi.</w:t>
      </w:r>
    </w:p>
    <w:p>
      <w:pPr/>
      <w:r>
        <w:rPr>
          <w:b/>
        </w:rPr>
        <w:t xml:space="preserve">3. </w:t>
      </w:r>
      <w:r>
        <w:t>Çocuğun [OKUL/SAĞLIK/KURS/UYKU] düzeni veya ebeveynlerin yerleşim/çalışma koşulları [DEĞİŞİKLİK] nedeniyle değişti.</w:t>
      </w:r>
    </w:p>
    <w:p>
      <w:pPr/>
      <w:r>
        <w:rPr>
          <w:b/>
        </w:rPr>
        <w:t xml:space="preserve">4. </w:t>
      </w:r>
      <w:r>
        <w:t>Mevcut uygulama [SOMUT ZARAR/AKSAMA] doğurmaktadır.</w:t>
      </w:r>
    </w:p>
    <w:p>
      <w:pPr/>
      <w:r>
        <w:rPr>
          <w:b/>
        </w:rPr>
        <w:t xml:space="preserve">5. </w:t>
      </w:r>
      <w:r>
        <w:t>Önerilen yeni takvim [GÜN-SAAT-TESLİM YERİ] çocuğun düzenini korur ve ebeveyn ilişkisini sürdürülebilir kılar.</w:t>
      </w:r>
    </w:p>
    <w:p>
      <w:pPr/>
      <w:r>
        <w:rPr>
          <w:b/>
        </w:rPr>
        <w:t xml:space="preserve">6. </w:t>
      </w:r>
      <w:r>
        <w:t>Aşağıdaki kanuni düzenlemeler somut olaya doğrudan uygulanır:</w:t>
      </w:r>
    </w:p>
    <w:p>
      <w:pPr>
        <w:ind w:left="312"/>
      </w:pPr>
      <w:r>
        <w:rPr>
          <w:b/>
          <w:color w:val="1E3A8A"/>
        </w:rPr>
        <w:t xml:space="preserve">TMK m.182/2: </w:t>
      </w:r>
      <w:r>
        <w:t>Velayet kendisine verilmeyen eşin çocukla kişisel ilişkisi çocuğun yararı gözetilerek düzenlenir.</w:t>
      </w:r>
    </w:p>
    <w:p>
      <w:pPr>
        <w:ind w:left="312"/>
      </w:pPr>
      <w:r>
        <w:rPr>
          <w:b/>
          <w:color w:val="1E3A8A"/>
        </w:rPr>
        <w:t xml:space="preserve">TMK m.323: </w:t>
      </w:r>
      <w:r>
        <w:t>Ana ve babadan her biri velayeti altında bulunmayan çocukla uygun kişisel ilişki kurulmasını isteme hakkına sahiptir.</w:t>
      </w:r>
    </w:p>
    <w:p>
      <w:pPr>
        <w:ind w:left="312"/>
      </w:pPr>
      <w:r>
        <w:rPr>
          <w:b/>
          <w:color w:val="1E3A8A"/>
        </w:rPr>
        <w:t xml:space="preserve">TMK m.324: </w:t>
      </w:r>
      <w:r>
        <w:t>Kişisel ilişki çocuğun huzurunu tehlikeye sokamaz; yükümlülüklere aykırılık hâlinde hak reddedilebilir veya kaldırılabilir.</w:t>
      </w:r>
    </w:p>
    <w:p>
      <w:pPr>
        <w:ind w:left="312"/>
      </w:pPr>
      <w:r>
        <w:rPr>
          <w:b/>
          <w:color w:val="1E3A8A"/>
        </w:rPr>
        <w:t xml:space="preserve">TMK m.325: </w:t>
      </w:r>
      <w:r>
        <w:t>Olağanüstü hâllerde çocuğun yararına uygun olmak koşuluyla üçüncü kişilere de kişisel ilişki hakkı tanınabilir.</w:t>
      </w:r>
    </w:p>
    <w:p>
      <w:pPr>
        <w:pStyle w:val="Heading1"/>
      </w:pPr>
      <w:r>
        <w:t>HUKUKİ NEDENLER</w:t>
      </w:r>
    </w:p>
    <w:p>
      <w:r>
        <w:t>TMK m.182/2, TMK m.323, TMK m.324, TMK m.325 ve ilgili diğer mevzuat.</w:t>
      </w:r>
    </w:p>
    <w:p>
      <w:pPr>
        <w:pStyle w:val="Heading1"/>
      </w:pPr>
      <w:r>
        <w:t>DELİLLER</w:t>
      </w:r>
    </w:p>
    <w:p>
      <w:pPr/>
      <w:r>
        <w:rPr>
          <w:b/>
        </w:rPr>
        <w:t xml:space="preserve">1. </w:t>
      </w:r>
      <w:r>
        <w:t>Mevcut kişisel ilişki kararı</w:t>
      </w:r>
    </w:p>
    <w:p>
      <w:pPr/>
      <w:r>
        <w:rPr>
          <w:b/>
        </w:rPr>
        <w:t xml:space="preserve">2. </w:t>
      </w:r>
      <w:r>
        <w:t>Okul ve kurs programı</w:t>
      </w:r>
    </w:p>
    <w:p>
      <w:pPr/>
      <w:r>
        <w:rPr>
          <w:b/>
        </w:rPr>
        <w:t xml:space="preserve">3. </w:t>
      </w:r>
      <w:r>
        <w:t>Sağlık raporu</w:t>
      </w:r>
    </w:p>
    <w:p>
      <w:pPr/>
      <w:r>
        <w:rPr>
          <w:b/>
        </w:rPr>
        <w:t xml:space="preserve">4. </w:t>
      </w:r>
      <w:r>
        <w:t>Çalışma ve seyahat belgeleri</w:t>
      </w:r>
    </w:p>
    <w:p>
      <w:pPr/>
      <w:r>
        <w:rPr>
          <w:b/>
        </w:rPr>
        <w:t xml:space="preserve">5. </w:t>
      </w:r>
      <w:r>
        <w:t>Teslim tutanakları ve hukuka uygun iletişim kayıtları</w:t>
      </w:r>
    </w:p>
    <w:p>
      <w:pPr/>
      <w:r>
        <w:t>Karşı tarafın ve ilgili kurumların elindeki kayıtların celbi ile hukuka uygun her türlü delil.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pPr>
        <w:ind w:left="283"/>
      </w:pPr>
      <w:r>
        <w:rPr>
          <w:b/>
        </w:rPr>
        <w:t xml:space="preserve">1. </w:t>
      </w:r>
      <w:r>
        <w:t>Kişisel ilişkinin önerilen takvime göre yeniden düzenlenmesi,</w:t>
      </w:r>
    </w:p>
    <w:p>
      <w:pPr>
        <w:ind w:left="283"/>
      </w:pPr>
      <w:r>
        <w:rPr>
          <w:b/>
        </w:rPr>
        <w:t xml:space="preserve">2. </w:t>
      </w:r>
      <w:r>
        <w:t>Gerekirse uzman incelemesi yapılması,</w:t>
      </w:r>
    </w:p>
    <w:p>
      <w:pPr>
        <w:ind w:left="283"/>
      </w:pPr>
      <w:r>
        <w:rPr>
          <w:b/>
        </w:rPr>
        <w:t xml:space="preserve">3. </w:t>
      </w:r>
      <w:r>
        <w:t>Acil risk varsa yatılı ilişkinin geçici olarak kaldırılması veya gözetimli ilişki kurulması,</w:t>
      </w:r>
    </w:p>
    <w:p>
      <w:pPr>
        <w:jc w:val="right"/>
      </w:pPr>
      <w:r>
        <w:t>karar verilmesini saygıyla arz ve talep ederim. [TARİH]</w:t>
      </w:r>
    </w:p>
    <w:p>
      <w:pPr>
        <w:jc w:val="right"/>
      </w:pPr>
      <w:r>
        <w:rPr>
          <w:b/>
        </w:rPr>
        <w:t>TALEPTE BULUNAN</w:t>
        <w:br/>
        <w:t>[AD SOYAD]</w:t>
        <w:br/>
        <w:t>İmza / (E-İMZALIDIR)</w:t>
      </w:r>
    </w:p>
    <w:p>
      <w:pPr>
        <w:pStyle w:val="Heading1"/>
      </w:pPr>
      <w:r>
        <w:t>EKLER</w:t>
      </w:r>
    </w:p>
    <w:p>
      <w:pPr/>
      <w:r>
        <w:t>1. Mevcut kişisel ilişki kararı</w:t>
      </w:r>
    </w:p>
    <w:p>
      <w:pPr/>
      <w:r>
        <w:t>2. Okul ve kurs programı</w:t>
      </w:r>
    </w:p>
    <w:p>
      <w:pPr/>
      <w:r>
        <w:t>3. Sağlık raporu</w:t>
      </w:r>
    </w:p>
    <w:p>
      <w:pPr/>
      <w:r>
        <w:t>4. Çalışma ve seyahat belgeleri</w:t>
      </w:r>
    </w:p>
    <w:p>
      <w:pPr/>
      <w:r>
        <w:t>5. Teslim tutanakları ve hukuka uygun iletişim kayıtları</w:t>
      </w:r>
    </w:p>
    <w:p>
      <w:r>
        <w:br w:type="page"/>
      </w:r>
    </w:p>
    <w:p>
      <w:pPr>
        <w:jc w:val="center"/>
      </w:pPr>
      <w:r>
        <w:rPr>
          <w:b/>
          <w:color w:val="102449"/>
          <w:sz w:val="28"/>
        </w:rPr>
        <w:t>DOLDURMA VE DOSYALAMA KONTROLÜ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GÖREVLİ/YETKİLİ MERCİ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Görevli mahkeme Aile Mahkemesidir. Başvuru mevcut kişisel ilişki kararını veren veya yetki kurallarına göre belirlenen Aile Mahkemesine yapılır.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SÜRE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Özel bir hak düşürücü süre yoktur. Okul, şehir, sağlık, çalışma düzeni veya güvenlik koşulu değiştiğinde yeniden düzenleme istenir.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DAVA/BAŞVURU ŞARTI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Arabuluculuk dava şartı değildir. Mevcut karar ve değişen günlük düzeni gösteren belgeler eklenir.</w:t>
            </w:r>
          </w:p>
        </w:tc>
      </w:tr>
    </w:tbl>
    <w:p>
      <w:pPr>
        <w:pStyle w:val="Heading2"/>
      </w:pPr>
      <w:r>
        <w:t>Dilekçeye eklenmesi gereken somut bilgiler</w:t>
      </w:r>
    </w:p>
    <w:p>
      <w:pPr/>
      <w:r>
        <w:t>□ [MEVCUT KARAR] kişisel ilişkiyi [GÜN/SAAT] olarak düzenledi.</w:t>
      </w:r>
    </w:p>
    <w:p>
      <w:pPr/>
      <w:r>
        <w:t>Çocuğun □ [OKUL/SAĞLIK/KURS/UYKU] düzeni veya ebeveynlerin yerleşim/çalışma koşulları [DEĞİŞİKLİK] nedeniyle değişti.</w:t>
      </w:r>
    </w:p>
    <w:p>
      <w:pPr/>
      <w:r>
        <w:t>Mevcut uygulama □ [SOMUT ZARAR/AKSAMA] doğurmaktadır.</w:t>
      </w:r>
    </w:p>
    <w:p>
      <w:pPr/>
      <w:r>
        <w:t>Önerilen yeni takvim □ [GÜN-SAAT-TESLİM YERİ] çocuğun düzenini korur ve ebeveyn ilişkisini sürdürülebilir kılar.</w:t>
      </w:r>
    </w:p>
    <w:p>
      <w:pPr>
        <w:pStyle w:val="Heading2"/>
      </w:pPr>
      <w:r>
        <w:t>Başvuru öncesi kritik kontroller</w:t>
      </w:r>
    </w:p>
    <w:p>
      <w:pPr/>
      <w:r>
        <w:t>□ Talebi ebeveyn kolaylığına değil çocuğun somut yararına dayandırın.</w:t>
      </w:r>
    </w:p>
    <w:p>
      <w:pPr/>
      <w:r>
        <w:t>□ Teslim yeri, başlangıç-bitiş saati ve tatil dönemlerini açık yazın.</w:t>
      </w:r>
    </w:p>
    <w:p>
      <w:pPr/>
      <w:r>
        <w:t>□ İlişkinin tamamen kaldırılması ağır tedbirdir; somut tehlike delili gerektirir.</w:t>
      </w:r>
    </w:p>
    <w:p>
      <w:pPr>
        <w:pStyle w:val="Heading2"/>
      </w:pPr>
      <w:r>
        <w:t>Resmî mevzuat bağlantıları</w:t>
      </w:r>
    </w:p>
    <w:p>
      <w:hyperlink r:id="rId11">
        <w:r>
          <w:rPr>
            <w:color w:val="1e3a8a"/>
            <w:u w:val="single"/>
          </w:rPr>
          <w:t>TMK güncel metni</w:t>
        </w:r>
      </w:hyperlink>
    </w:p>
    <w:p>
      <w:hyperlink r:id="rId12">
        <w:r>
          <w:rPr>
            <w:color w:val="1e3a8a"/>
            <w:u w:val="single"/>
          </w:rPr>
          <w:t>HMK güncel metni</w:t>
        </w:r>
      </w:hyperlink>
    </w:p>
    <w:p>
      <w:hyperlink r:id="rId13">
        <w:r>
          <w:rPr>
            <w:color w:val="1e3a8a"/>
            <w:u w:val="single"/>
          </w:rPr>
          <w:t>4787 güncel metni</w:t>
        </w:r>
      </w:hyperlink>
    </w:p>
    <w:p>
      <w:pPr>
        <w:pStyle w:val="Heading2"/>
      </w:pPr>
      <w:r>
        <w:t>İlgili hukuk rehberleri</w:t>
      </w:r>
    </w:p>
    <w:p>
      <w:hyperlink r:id="rId14">
        <w:r>
          <w:rPr>
            <w:color w:val="1e3a8a"/>
            <w:u w:val="single"/>
          </w:rPr>
          <w:t>Velayet davası nasıl açılır?</w:t>
        </w:r>
      </w:hyperlink>
    </w:p>
    <w:p>
      <w:hyperlink r:id="rId15">
        <w:r>
          <w:rPr>
            <w:color w:val="1e3a8a"/>
            <w:u w:val="single"/>
          </w:rPr>
          <w:t>Mersin velayet değişikliği rehberi</w:t>
        </w:r>
      </w:hyperlink>
    </w:p>
    <w:p>
      <w:hyperlink r:id="rId16">
        <w:r>
          <w:rPr>
            <w:color w:val="1e3a8a"/>
            <w:u w:val="single"/>
          </w:rPr>
          <w:t>Boşanma davası nasıl açılır?</w:t>
        </w:r>
      </w:hyperlink>
    </w:p>
    <w:p>
      <w:hyperlink r:id="rId17">
        <w:r>
          <w:rPr>
            <w:color w:val="1e3a8a"/>
            <w:u w:val="single"/>
          </w:rPr>
          <w:t>Randevu ve iletişim</w:t>
        </w:r>
      </w:hyperlink>
    </w:p>
    <w:p>
      <w:pPr>
        <w:pStyle w:val="BKNote"/>
      </w:pPr>
      <w:r>
        <w:rPr>
          <w:b/>
        </w:rPr>
        <w:t xml:space="preserve">Kullanım notu: </w:t>
      </w:r>
      <w:r>
        <w:t>Köşeli parantezli alanları dosyanıza göre doldurun; seçenekli taleplerden yalnız somut olaya uyanları bırakın. Bu kontrol sayfasını mahkemeye/kuruma sunmadan önce dilekçeden ayırın. Süre, görev, yetki ve dava şartı dosyanın özelliklerine göre son kez doğrulanmalıdır.</w:t>
      </w:r>
    </w:p>
    <w:p>
      <w:pPr>
        <w:jc w:val="center"/>
      </w:pPr>
      <w:hyperlink r:id="rId18">
        <w:r>
          <w:rPr>
            <w:color w:val="1e3a8a"/>
            <w:u w:val="single"/>
          </w:rPr>
          <w:t>halilbakirci.av.tr – Av. Halil Bakırcı</w:t>
        </w:r>
      </w:hyperlink>
    </w:p>
    <w:sectPr w:rsidR="00FC693F" w:rsidRPr="0006063C" w:rsidSect="00034616">
      <w:headerReference w:type="default" r:id="rId9"/>
      <w:footerReference w:type="default" r:id="rId10"/>
      <w:pgSz w:w="12240" w:h="15840"/>
      <w:pgMar w:top="964" w:right="1134" w:bottom="907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4748B"/>
        <w:sz w:val="15"/>
      </w:rPr>
      <w:t>İhsaniye Mahallesi, 4903. Sokak, Profit İş Merkezi No:23, Kat:3, Daire:14, 33070 Akdeniz/Mersin, Türkiye  •  +90 552 224 43 66</w:t>
    </w:r>
  </w:p>
  <w:p>
    <w:pPr>
      <w:jc w:val="center"/>
    </w:pPr>
    <w:r>
      <w:rPr>
        <w:rFonts w:ascii="Arial" w:hAnsi="Arial"/>
        <w:color w:val="64748B"/>
        <w:sz w:val="15"/>
      </w:rPr>
      <w:t xml:space="preserve">Sayfa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/>
        <w:b/>
        <w:color w:val="1E3A8A"/>
        <w:sz w:val="17"/>
      </w:rPr>
      <w:t>BAKIRCI &amp; KESKİN HUKUK BÜROSU  •  HALILBAKIRCI.AV.TR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 w:eastAsia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02449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10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E3A8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160"/>
      <w:contextualSpacing/>
    </w:pPr>
    <w:rPr>
      <w:rFonts w:asciiTheme="majorHAnsi" w:eastAsiaTheme="majorEastAsia" w:hAnsiTheme="majorHAnsi" w:cstheme="majorBidi" w:ascii="Arial" w:hAnsi="Arial" w:eastAsia="Arial"/>
      <w:b/>
      <w:color w:val="102449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KNote">
    <w:name w:val="BK Note"/>
    <w:pPr>
      <w:spacing w:before="80" w:after="80"/>
      <w:ind w:left="227" w:right="227"/>
    </w:pPr>
    <w:rPr>
      <w:rFonts w:ascii="Arial" w:hAnsi="Arial"/>
      <w:color w:val="475569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mevzuat.gov.tr/mevzuatmetin/1.5.4721.pdf" TargetMode="External"/><Relationship Id="rId12" Type="http://schemas.openxmlformats.org/officeDocument/2006/relationships/hyperlink" Target="https://www.mevzuat.gov.tr/mevzuatmetin/1.5.6100.pdf" TargetMode="External"/><Relationship Id="rId13" Type="http://schemas.openxmlformats.org/officeDocument/2006/relationships/hyperlink" Target="https://www.mevzuat.gov.tr/mevzuatmetin/1.5.4787.pdf" TargetMode="External"/><Relationship Id="rId14" Type="http://schemas.openxmlformats.org/officeDocument/2006/relationships/hyperlink" Target="https://halilbakirci.av.tr/velayet-davasi-nasil-acilir/" TargetMode="External"/><Relationship Id="rId15" Type="http://schemas.openxmlformats.org/officeDocument/2006/relationships/hyperlink" Target="https://halilbakirci.av.tr/mersin-aile-mahkemelerinde-velayet-degisikligi/" TargetMode="External"/><Relationship Id="rId16" Type="http://schemas.openxmlformats.org/officeDocument/2006/relationships/hyperlink" Target="https://halilbakirci.av.tr/bosanma-davasi-nasil-acilir/" TargetMode="External"/><Relationship Id="rId17" Type="http://schemas.openxmlformats.org/officeDocument/2006/relationships/hyperlink" Target="https://halilbakirci.av.tr/iletisim/" TargetMode="External"/><Relationship Id="rId18" Type="http://schemas.openxmlformats.org/officeDocument/2006/relationships/hyperlink" Target="https://halilbakirci.av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Çocukla Kişisel İlişkinin Değiştirilmesi Dilekçesi Örneği</dc:title>
  <dc:subject>kişisel ilişki değiştirme dilekçesi</dc:subject>
  <dc:creator>Av. Halil Bakırcı</dc:creator>
  <cp:keywords>kişisel ilişki değiştirme dilekçesi, dilekçe örneği, Word indir, Aile Hukuku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