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[...] SULH HUKUK MAHKEMESİNE</w:t>
      </w:r>
    </w:p>
    <w:p>
      <w:r>
        <w:rPr>
          <w:b/>
        </w:rPr>
        <w:t>DELİL TESPİTİ DOSYA NO</w:t>
      </w:r>
      <w:r>
        <w:t xml:space="preserve"> : [20../... D. İş]</w:t>
      </w:r>
    </w:p>
    <w:p>
      <w:r>
        <w:rPr>
          <w:b/>
        </w:rPr>
        <w:t>İLAVE SORULARI SUNAN / KARŞI TARAF</w:t>
      </w:r>
      <w:r>
        <w:t xml:space="preserve"> : [Apartman yönetimi / temsil bilgisi ve adres]</w:t>
      </w:r>
    </w:p>
    <w:p>
      <w:r>
        <w:rPr>
          <w:b/>
        </w:rPr>
        <w:t>VEKİLİ</w:t>
      </w:r>
      <w:r>
        <w:t xml:space="preserve"> : Av. [Ad Soyad, baro sicil, adres]</w:t>
      </w:r>
    </w:p>
    <w:p>
      <w:r>
        <w:rPr>
          <w:b/>
        </w:rPr>
        <w:t>TESPİT TALEP EDEN</w:t>
      </w:r>
      <w:r>
        <w:t xml:space="preserve"> : [Ad Soyad ve adres]</w:t>
      </w:r>
    </w:p>
    <w:p>
      <w:r>
        <w:rPr>
          <w:b/>
        </w:rPr>
        <w:t>KARAR VE TEBLİĞ TARİHİ</w:t>
      </w:r>
      <w:r>
        <w:t xml:space="preserve"> : [Karar: ... / Tebliğ: ...]</w:t>
      </w:r>
    </w:p>
    <w:p>
      <w:r>
        <w:rPr>
          <w:b/>
        </w:rPr>
        <w:t>KONU</w:t>
      </w:r>
      <w:r>
        <w:t xml:space="preserve"> : HMK m. 402/3 uyarınca, önceden tebliğ edilen [tarih] tarihli delil tespiti kararındaki çatı sızıntısı incelemesi için bir haftalık sürede bilirkişiye ilave teknik sorularımızın bildirilmesidir.</w:t>
      </w:r>
    </w:p>
    <w:p>
      <w:pPr>
        <w:keepNext/>
      </w:pPr>
      <w:r>
        <w:rPr>
          <w:b/>
        </w:rPr>
        <w:t>AÇIKLAMALAR</w:t>
      </w:r>
    </w:p>
    <w:p>
      <w:r>
        <w:t>1. Mahkemenizin [dosya numarası] sayılı delil tespiti dosyasında talep eden, [açık bina adresi ve bağımsız bölüm] içinde su sızıntısı bulunduğunu ileri sürmüştür. [Tarih] tarihli karar ile [tespit günü/saat ve yeri] için [bilirkişi uzmanlığı] incelemesi öngörülmüş; karar ve talep dilekçesi tarafımıza [tebliğ tarihi] tarihinde önceden tebliğ edilmiştir (Ek-1). Bu sorular HMK m. 402/3’te belirtilen bir haftalık sürede sunulmaktadır.</w:t>
      </w:r>
    </w:p>
    <w:p>
      <w:r>
        <w:t>2. Kararda bilirkişiye yöneltilen mevcut sorular [karardaki soruları doğru ve kısa aktarınız] biçimindedir. Sızıntı kaynağını ayırmak için çatı oluğu, yağmur iniş hattı ve daire içi tesisat bağlantısının hangi yöntemle incelendiği de açıklığa kavuşturulmalıdır. Bu noktalar talep edilen aynı sızıntı vakıasına ilişkindir; dava dışı başka bir inceleme istemiyoruz.</w:t>
      </w:r>
    </w:p>
    <w:p>
      <w:r>
        <w:t>3. Yönetimin [tarih] tarihli oluk bakım tutanağı ve [tarih] tarihli [varsa tesisat müdahalesi belgesi] ekte sunulmuştur (Ek-2 ve Ek-3). Belgeler teknik sonucun yerine geçmez; bilirkişinin yerinde gözlemiyle ve olay tarihleriyle karşılaştırılmalıdır. [Belge yoksa ilgili cümle ve ek silinecektir.]</w:t>
      </w:r>
    </w:p>
    <w:p>
      <w:r>
        <w:t>4. HMK m. 402/3 kapsamında karşı tarafın tespitte hazır bulunabileceği kararda belirtilmiştir. [Adı ve görevi] sıfatıyla [temsilci] tespit günü [erişim alanı] bölümünde teknik alanı göstermek için hazır bulunacaktır. Mahkemenin belirlediği usul ve bilirkişi görevi dışına çıkılmaması esastır.</w:t>
      </w:r>
    </w:p>
    <w:p>
      <w:pPr>
        <w:keepNext/>
      </w:pPr>
      <w:r>
        <w:rPr>
          <w:b/>
        </w:rPr>
        <w:t>BİLİRKİŞİYE İLAVE TEKNİK SORULAR</w:t>
      </w:r>
    </w:p>
    <w:p>
      <w:r>
        <w:t>1. Suyun bağımsız bölüme girdiği nokta, hangi yerinde gözlem veya ölçümle belirlenmiştir? Fotoğraf, nokta ve yöntem ayrı gösterilebilir mi?</w:t>
      </w:r>
    </w:p>
    <w:p>
      <w:r>
        <w:t>2. Çatı oluğu ile yağmur iniş hattının [olay tarihindeki] olası tıkanma ve bağlantı durumu hangi veriyle değerlendirilmektedir? Ek-2 bakım kaydı bulguyu nasıl etkiler?</w:t>
      </w:r>
    </w:p>
    <w:p>
      <w:r>
        <w:t>3. Bağımsız bölüm içindeki tesisat bağlantısı ayrı incelenmiş midir? İncelenmişse hangi test uygulanmış, uygulanmamışsa neden inceleme yapılamamıştır?</w:t>
      </w:r>
    </w:p>
    <w:p>
      <w:r>
        <w:t>4. [Tarihli] eski onarım faturasında yazan bölüm ile güncel hasar alanı aynı mıdır? Onarım bedeli hesabında önceki işin kapsamı ile yeni zarar hangi kalemlerle ayrılmıştır?</w:t>
      </w:r>
    </w:p>
    <w:p>
      <w:pPr>
        <w:keepNext/>
      </w:pPr>
      <w:r>
        <w:rPr>
          <w:b/>
        </w:rPr>
        <w:t>HUKUKİ NEDENLER</w:t>
      </w:r>
    </w:p>
    <w:p>
      <w:r>
        <w:t>6100 sayılı HMK m. 400, 402/3 ve ilgili usul hükümleri.</w:t>
      </w:r>
    </w:p>
    <w:p>
      <w:pPr>
        <w:keepNext/>
      </w:pPr>
      <w:r>
        <w:rPr>
          <w:b/>
        </w:rPr>
        <w:t>SONUÇ VE İSTEM</w:t>
      </w:r>
    </w:p>
    <w:p>
      <w:r>
        <w:t>Açıklanan nedenlerle, önceden tebliğ edilen delil tespiti kararına ilişkin yukarıdaki dört ilave teknik sorunun HMK m. 402/3 uyarınca süresinde dosyaya alınmasına ve mahkemenin uygun gördüğü kapsamda bilirkişiye yöneltilmesine; Ek-2/3 tarihli bakım belgelerinin teknik gözlemle birlikte değerlendirilmesine karar verilmesini saygıyla talep ederiz. 29/09/2026</w:t>
      </w:r>
    </w:p>
    <w:p>
      <w:pPr>
        <w:jc w:val="right"/>
      </w:pPr>
      <w:r>
        <w:t>Karşı Taraf Vekili</w:t>
        <w:br/>
        <w:t>Av. [Ad Soyad]</w:t>
        <w:br/>
        <w:t>(E-İMZALIDIR)</w:t>
      </w:r>
    </w:p>
    <w:p>
      <w:pPr>
        <w:keepNext/>
      </w:pPr>
      <w:r>
        <w:rPr>
          <w:b/>
        </w:rPr>
        <w:t>EKLER</w:t>
      </w:r>
    </w:p>
    <w:p>
      <w:pPr>
        <w:pStyle w:val="ListBullet"/>
      </w:pPr>
      <w:r>
        <w:t>Ek-1: Delil tespiti kararı, talep dilekçesi ve tebliğ kaydı</w:t>
      </w:r>
    </w:p>
    <w:p>
      <w:pPr>
        <w:pStyle w:val="ListBullet"/>
      </w:pPr>
      <w:r>
        <w:t>Ek-2: [Tarih] tarihli oluk bakım tutanağı (mevcutsa)</w:t>
      </w:r>
    </w:p>
    <w:p>
      <w:pPr>
        <w:pStyle w:val="ListBullet"/>
      </w:pPr>
      <w:r>
        <w:t>Ek-3: [Tarih] tarihli tesisat müdahalesi kaydı (mevcutsa)</w:t>
      </w:r>
    </w:p>
    <w:p>
      <w:pPr>
        <w:pStyle w:val="ListBullet"/>
      </w:pPr>
      <w:r>
        <w:t>Ek-4: [Varsa tarih ve yeri belirli fotoğraflar]</w:t>
      </w:r>
    </w:p>
    <w:p>
      <w:pPr>
        <w:keepNext/>
      </w:pPr>
      <w:r>
        <w:rPr>
          <w:b/>
        </w:rPr>
        <w:t>DOLDURMA KONTROLÜ — SUNULACAK NÜSHADAN ÇIKARIN</w:t>
      </w:r>
    </w:p>
    <w:p>
      <w:r>
        <w:t>Ön tebliğ ve bir haftalık süreyi gerçek kayıttan kontrol edin. Mahkeme kararındaki mevcut soruları aynen inceleyin. Olmayan bakım/tesisat kaydını ve buna bağlı soruyu silip gerçek teknik eksikliğe göre yeniden yazın. Köşeli alanları, ekleri, tarihi ve imzayı gerçek dosyaya uyarlayın.</w:t>
      </w:r>
    </w:p>
    <w:sectPr w:rsidR="00FC693F" w:rsidRPr="0006063C" w:rsidSect="00034616">
      <w:pgSz w:w="12240" w:h="15840"/>
      <w:pgMar w:top="1134" w:right="1247" w:bottom="107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