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DOLANDIRICILIK SUÇU ŞIKÂYET DILEKÇESI – MAHKEME AŞAMASI</w:t>
      </w:r>
    </w:p>
    <w:p>
      <w:pPr>
        <w:jc w:val="center"/>
        <w:spacing w:before="120" w:after="220" w:line="276" w:lineRule="auto"/>
      </w:pPr>
      <w:r>
        <w:rPr>
          <w:rFonts w:ascii="Times New Roman" w:hAnsi="Times New Roman" w:eastAsia="Times New Roman"/>
          <w:b/>
          <w:sz w:val="25"/>
          <w:szCs w:val="25"/>
        </w:rPr>
        <w:t xml:space="preserve">[YETKİLİ YER] [SUÇ VASFINA GÖRE ASLİYE/AĞIR]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[AD SOYAD / UNVAN]</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Dolandırıcılık eylemi nedeniyle davaya katılma, banka ve dijital kayıtların toplanması, maddi gerçeğin ortaya çıkarılması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aşamasında kullanılır. İlk suç duyurusu CMK m.158 uyarınca savcılığa/kolluğa yapılır. Suçun basit veya nitelikli hali görevli mahkemeyi değiştirebilir.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Sanık, [İLAN/YATIRIM/SATIŞ/HİZMET] görünümü altında gerçeğe aykırı beyanlarla katılanın güvenini kazanmış ve [TARİH] tarihinde [TUTAR] TL’nin [IBAN/HESAP] hesabına gönderilmesini sağlamıştır.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Para transferinden sonra vaat edilen mal/hizmet verilmemiş, sanık iletişimi kesmiş veya yeni para taleplerinde bulunmuştur. İlan, mesaj, görüşme ve ödeme kayıtları hileli davranış ile malvarlığı zararının zaman bakımından bağlantısını göstermektedir.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Paranın izinin sürülmesi için alıcı hesap, devam hesapları, ATM/para çekim görüntüleri, IP/cihaz ve GSM kayıtlarının eksiksiz toplanması gerekir. Hesap sahibinin rolü yalnız isim kaydı üzerinden değil, para hareketleri ve iletişim bağlantıları üzerinden değerlendirilmelidir.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Katılanın zararı [TUTAR] TL olup iade edilmemiştir. Ceza yargılamasındaki haklarımız ile özel hukuk kaynaklı alacak/tazminat haklarımız saklı tutulmaktadır.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[SUÇ VASFINA GÖRE ASLİYE/AĞIR] CEZA MAHKEMESİ SAYIN HÂKİMLİĞİNE hitabıyla kurulmuştur. Somut dosyanın yetkili yeri, taraf sıfatı, dava şartı ve ön başvuru koşulları dosya belgeleri üzerinden ayrıca kontrol edilmelidir. Bu örnek kovuşturma aşamasında kullanılır. İlk suç duyurusu CMK m.158 uyarınca savcılığa/kolluğa yapılır. Suçun basit veya nitelikli hali görevli mahkemeyi değiştirebilir.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Banka dekontları ve hesap hareketleri, İlan/site kayıtları, Mesaj ve arama kayıtları, IP/cihaz/GSM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Dolandırıcılık Suçu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talebimizin kabulüne; Banka ve dijital kayıtların genişletilerek toplanmasına; Suç vasfının dosya kapsamına göre belirlenerek sanığın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dolandırıcılık suçu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m.157, olayın niteliğine göre m.158; 5271 sayılı CMK m.234, m.237 ve devamı; ilgili ödeme/banka mevzuatı.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Banka dekontları ve hesap hareketleri</w:t>
      </w:r>
    </w:p>
    <w:p>
      <w:pPr>
        <w:jc w:val="left"/>
        <w:spacing w:before="0" w:after="60" w:line="276" w:lineRule="auto"/>
      </w:pPr>
      <w:r>
        <w:rPr>
          <w:rFonts w:ascii="Times New Roman" w:hAnsi="Times New Roman" w:eastAsia="Times New Roman"/>
          <w:sz w:val="23"/>
          <w:szCs w:val="23"/>
        </w:rPr>
        <w:t xml:space="preserve">2. İlan/site kayıtları</w:t>
      </w:r>
    </w:p>
    <w:p>
      <w:pPr>
        <w:jc w:val="left"/>
        <w:spacing w:before="0" w:after="60" w:line="276" w:lineRule="auto"/>
      </w:pPr>
      <w:r>
        <w:rPr>
          <w:rFonts w:ascii="Times New Roman" w:hAnsi="Times New Roman" w:eastAsia="Times New Roman"/>
          <w:sz w:val="23"/>
          <w:szCs w:val="23"/>
        </w:rPr>
        <w:t xml:space="preserve">3. Mesaj ve arama kayıtları</w:t>
      </w:r>
    </w:p>
    <w:p>
      <w:pPr>
        <w:jc w:val="left"/>
        <w:spacing w:before="0" w:after="60" w:line="276" w:lineRule="auto"/>
      </w:pPr>
      <w:r>
        <w:rPr>
          <w:rFonts w:ascii="Times New Roman" w:hAnsi="Times New Roman" w:eastAsia="Times New Roman"/>
          <w:sz w:val="23"/>
          <w:szCs w:val="23"/>
        </w:rPr>
        <w:t xml:space="preserve">4. IP/cihaz/GSM kayıtları</w:t>
      </w:r>
    </w:p>
    <w:p>
      <w:pPr>
        <w:jc w:val="left"/>
        <w:spacing w:before="0" w:after="60" w:line="276" w:lineRule="auto"/>
      </w:pPr>
      <w:r>
        <w:rPr>
          <w:rFonts w:ascii="Times New Roman" w:hAnsi="Times New Roman" w:eastAsia="Times New Roman"/>
          <w:sz w:val="23"/>
          <w:szCs w:val="23"/>
        </w:rPr>
        <w:t xml:space="preserve">5. Kamera/ATM görüntüleri</w:t>
      </w:r>
    </w:p>
    <w:p>
      <w:pPr>
        <w:jc w:val="left"/>
        <w:spacing w:before="0" w:after="60" w:line="276" w:lineRule="auto"/>
      </w:pPr>
      <w:r>
        <w:rPr>
          <w:rFonts w:ascii="Times New Roman" w:hAnsi="Times New Roman" w:eastAsia="Times New Roman"/>
          <w:sz w:val="23"/>
          <w:szCs w:val="23"/>
        </w:rPr>
        <w:t xml:space="preserve">6. Soruşturma dosyası ve bilirkişi raporları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talebimizin kabulüne,</w:t>
      </w:r>
    </w:p>
    <w:p>
      <w:pPr>
        <w:jc w:val="both"/>
        <w:spacing w:before="0" w:after="60" w:line="276" w:lineRule="auto"/>
      </w:pPr>
      <w:r>
        <w:rPr>
          <w:rFonts w:ascii="Times New Roman" w:hAnsi="Times New Roman" w:eastAsia="Times New Roman"/>
          <w:sz w:val="23"/>
          <w:szCs w:val="23"/>
        </w:rPr>
        <w:t xml:space="preserve">2. Banka ve dijital kayıtların genişletilerek toplanmasına,</w:t>
      </w:r>
    </w:p>
    <w:p>
      <w:pPr>
        <w:jc w:val="both"/>
        <w:spacing w:before="0" w:after="60" w:line="276" w:lineRule="auto"/>
      </w:pPr>
      <w:r>
        <w:rPr>
          <w:rFonts w:ascii="Times New Roman" w:hAnsi="Times New Roman" w:eastAsia="Times New Roman"/>
          <w:sz w:val="23"/>
          <w:szCs w:val="23"/>
        </w:rPr>
        <w:t xml:space="preserve">3. Suç vasfının dosya kapsamına göre belirlenerek sanığın cezalandırılmasına,</w:t>
      </w:r>
    </w:p>
    <w:p>
      <w:pPr>
        <w:jc w:val="both"/>
        <w:spacing w:before="0" w:after="60" w:line="276" w:lineRule="auto"/>
      </w:pPr>
      <w:r>
        <w:rPr>
          <w:rFonts w:ascii="Times New Roman" w:hAnsi="Times New Roman" w:eastAsia="Times New Roman"/>
          <w:sz w:val="23"/>
          <w:szCs w:val="23"/>
        </w:rPr>
        <w:t xml:space="preserve">4. Zarar ve iade durumunun hükümde değerlendirilmesine,</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Banka dekontları ve hesap hareketleri</w:t>
      </w:r>
    </w:p>
    <w:p>
      <w:pPr>
        <w:jc w:val="left"/>
        <w:spacing w:before="0" w:after="50" w:line="276" w:lineRule="auto"/>
      </w:pPr>
      <w:r>
        <w:rPr>
          <w:rFonts w:ascii="Times New Roman" w:hAnsi="Times New Roman" w:eastAsia="Times New Roman"/>
          <w:sz w:val="23"/>
          <w:szCs w:val="23"/>
        </w:rPr>
        <w:t xml:space="preserve">Ek-2: İlan/site kayıtları</w:t>
      </w:r>
    </w:p>
    <w:p>
      <w:pPr>
        <w:jc w:val="left"/>
        <w:spacing w:before="0" w:after="50" w:line="276" w:lineRule="auto"/>
      </w:pPr>
      <w:r>
        <w:rPr>
          <w:rFonts w:ascii="Times New Roman" w:hAnsi="Times New Roman" w:eastAsia="Times New Roman"/>
          <w:sz w:val="23"/>
          <w:szCs w:val="23"/>
        </w:rPr>
        <w:t xml:space="preserve">Ek-3: Mesaj ve arama kayıtları</w:t>
      </w:r>
    </w:p>
    <w:p>
      <w:pPr>
        <w:jc w:val="left"/>
        <w:spacing w:before="0" w:after="50" w:line="276" w:lineRule="auto"/>
      </w:pPr>
      <w:r>
        <w:rPr>
          <w:rFonts w:ascii="Times New Roman" w:hAnsi="Times New Roman" w:eastAsia="Times New Roman"/>
          <w:sz w:val="23"/>
          <w:szCs w:val="23"/>
        </w:rPr>
        <w:t xml:space="preserve">Ek-4: IP/cihaz/GSM kayıtları</w:t>
      </w:r>
    </w:p>
    <w:p>
      <w:pPr>
        <w:jc w:val="left"/>
        <w:spacing w:before="0" w:after="50" w:line="276" w:lineRule="auto"/>
      </w:pPr>
      <w:r>
        <w:rPr>
          <w:rFonts w:ascii="Times New Roman" w:hAnsi="Times New Roman" w:eastAsia="Times New Roman"/>
          <w:sz w:val="23"/>
          <w:szCs w:val="23"/>
        </w:rPr>
        <w:t xml:space="preserve">Ek-5: Kamera/ATM görüntüleri</w:t>
      </w:r>
    </w:p>
    <w:p>
      <w:pPr>
        <w:jc w:val="left"/>
        <w:spacing w:before="0" w:after="50" w:line="276" w:lineRule="auto"/>
      </w:pPr>
      <w:r>
        <w:rPr>
          <w:rFonts w:ascii="Times New Roman" w:hAnsi="Times New Roman" w:eastAsia="Times New Roman"/>
          <w:sz w:val="23"/>
          <w:szCs w:val="23"/>
        </w:rPr>
        <w:t xml:space="preserve">Ek-6: Soruşturma dosyası ve bilirkişi raporları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Dolandırıcılık Suçu Şikâyet Dilekçesi – Mahkeme Aşaması</dc:title>
  <dc:subject>Profesyonel örnek dilekçe – düzenlenebilir Word belgesi</dc:subject>
  <dc:creator>Av. Halil Bakırcı</dc:creator>
  <cp:lastModifiedBy>Av. Halil Bakırcı</cp:lastModifiedBy>
  <dcterms:created xsi:type="dcterms:W3CDTF">2026-09-10T22:19:36Z</dcterms:created>
  <dcterms:modified xsi:type="dcterms:W3CDTF">2026-09-10T22:19:36Z</dcterms:modified>
</cp:coreProperties>
</file>