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Duruşmada Tartışılmayan Delilin Hükme Esas Alınmaması Talebi</w:t>
      </w:r>
    </w:p>
    <w:p>
      <w:pPr>
        <w:jc w:val="center"/>
      </w:pPr>
      <w:r>
        <w:rPr>
          <w:b/>
          <w:sz w:val="23"/>
        </w:rPr>
        <w:t>T.C. MERSİN 3. AĞIR CEZA MAHKEMESİNE</w:t>
      </w:r>
    </w:p>
    <w:p>
      <w:r>
        <w:rPr>
          <w:b/>
        </w:rPr>
        <w:t>DOSYA NO</w:t>
      </w:r>
      <w:r>
        <w:t xml:space="preserve"> : 2026/417 E. [Gerçek dosyaya göre değiştirin]</w:t>
      </w:r>
    </w:p>
    <w:p>
      <w:r>
        <w:rPr>
          <w:b/>
        </w:rPr>
        <w:t>TALEPTE BULUNAN SANIK</w:t>
      </w:r>
      <w:r>
        <w:t xml:space="preserve"> : [Ad soyad, T.C. kimlik no ve adres]</w:t>
      </w:r>
    </w:p>
    <w:p>
      <w:r>
        <w:rPr>
          <w:b/>
        </w:rPr>
        <w:t>MÜDAFİİ</w:t>
      </w:r>
      <w:r>
        <w:t xml:space="preserve"> : Av. Halil BAKIRCI, Mersin Barosu Sicil No 3472</w:t>
      </w:r>
    </w:p>
    <w:p>
      <w:r>
        <w:rPr>
          <w:b/>
        </w:rPr>
        <w:t>KATILAN</w:t>
      </w:r>
      <w:r>
        <w:t xml:space="preserve"> : [Ad soyad / kurum ve vekili]</w:t>
      </w:r>
    </w:p>
    <w:p>
      <w:r>
        <w:rPr>
          <w:b/>
        </w:rPr>
        <w:t>KONU</w:t>
      </w:r>
      <w:r>
        <w:t xml:space="preserve"> : Delil tartışmasının tamamlanmasından sonra dosyaya giren 21.09.2026 tarihli MASAK ek analiz yazısı ve ek işlem tablosunun duruşmada okunup tartışılmaması nedeniyle CMK m. 217/1 uyarınca hükme esas alınmaması; değerlendirilecekse önce CMK m. 209–216 işlemlerinin tamamlanması talebidir.</w:t>
      </w:r>
    </w:p>
    <w:p>
      <w:pPr>
        <w:keepNext/>
      </w:pPr>
      <w:r>
        <w:rPr>
          <w:b/>
          <w:color w:val="000000"/>
        </w:rPr>
        <w:t>KRONOLOJİ VE TARTIŞILMAYAN DELİL</w:t>
      </w:r>
    </w:p>
    <w:p>
      <w:r>
        <w:t>1. Mahkemeniz 10.09.2026 tarihli oturumda delil tartışmasının bittiğini bildirmiş ve esas hakkındaki mütalaa için 28.09.2026 tarihini belirlemiştir.</w:t>
      </w:r>
    </w:p>
    <w:p>
      <w:r>
        <w:t>2. MASAK’ın 21.09.2026 tarih ve [sayı] ek analiz yazısı ile 186 satırlık işlem tablosu 23.09.2026 tarihinde UYAP’a [evrak no] olarak yüklenmiştir. Belge sanığa veya müdafiine tebliğ edilmemiştir.</w:t>
      </w:r>
    </w:p>
    <w:p>
      <w:r>
        <w:t>3. 28.09.2026 tarihli tutanakta yalnız “gelen evrak dosyaya alındı” kaydı vardır. Ek analizin adı, tarih-sayısı, sonuçları ve ekleri okunmamış; sanık ve müdafiine belgeye karşı diyecekleri sorulmamıştır. Cumhuriyet savcısı aynı oturumdaki mütalaasında ek analizdeki “dolaylı finansal bağ” sonucuna dayanmıştır.</w:t>
      </w:r>
    </w:p>
    <w:p>
      <w:pPr>
        <w:keepNext/>
      </w:pPr>
      <w:r>
        <w:rPr>
          <w:b/>
          <w:color w:val="000000"/>
        </w:rPr>
        <w:t>CMK 209–217 KAPSAMINDA İTİRAZ</w:t>
      </w:r>
    </w:p>
    <w:p>
      <w:r>
        <w:t>4. CMK m. 209/1 uyarınca bir belge veya yazının delil olarak kullanılabilmesi kural olarak duruşmada okunmasına bağlıdır. CMK m. 215/1 gereğince okuma sonrasında katılana veya vekiline, Cumhuriyet savcısına, sanığa ve müdafiine diyecekleri sorulmalıdır. CMK m. 216 delillerin tartışılmasındaki söz sırasını ve sanığın son sözünü düzenler.</w:t>
      </w:r>
    </w:p>
    <w:p>
      <w:r>
        <w:t>5. CMK m. 217/1 gereğince hâkim kararını yalnız duruşmaya getirilmiş ve huzurunda tartışılmış delillere dayandırabilir. Ek analizin dosyada bulunması veya savcının mütalaasında anılması, kanuni okuma ve tartışma işlemlerinin yerine geçmez.</w:t>
      </w:r>
    </w:p>
    <w:p>
      <w:r>
        <w:t>6. Savunma; 620.000 TL’nin [lisans faturası], 410.000 TL’nin [ekipman alımı] ve 450.000 TL’nin [borç iadesi] olduğunu dayanak belgeleriyle açıklayacaktır. Dolaylı bağ kurulan [hesabın son dört hanesi] hesap üzerinde sanığın temsil ve kullanım yetkisi bulunmadığına ilişkin [ticaret sicili/banka yetki kaydı] sunulacaktır. Bu belgeler gerçek dosya kaydına göre tamamlanacaktır.</w:t>
      </w:r>
    </w:p>
    <w:p>
      <w:pPr>
        <w:keepNext/>
      </w:pPr>
      <w:r>
        <w:rPr>
          <w:b/>
          <w:color w:val="000000"/>
        </w:rPr>
        <w:t>KADEMELİ İSTEM VE TUTANAK</w:t>
      </w:r>
    </w:p>
    <w:p>
      <w:r>
        <w:t>7. Öncelikli talebimiz, duruşmada ortaya konulup tartışılmayan ek analiz ve işlem tablosunun hükme esas alınmamasıdır. Mahkemeniz belgeyi değerlendirmeyi düşünüyorsa ek analiz ile dayanak işlem satırları duruşmada okunmalı, savunmaya inceleme ve karşı açıklama olanağı tanınmalı, ardından CMK m. 215 ve 216 işlemleri tamamlanmalıdır.</w:t>
      </w:r>
    </w:p>
    <w:p>
      <w:r>
        <w:t>8. Belgenin önceki tutanaklara sonradan eklenmesini veya kaydın değiştirilmesini istemiyoruz. Yeni oturumda belge kimliği, okunan bölüm, taraf açıklamaları, süre istemi ve verilen ara karar CMK m. 219 ve 221 uyarınca tutanağa geçirilmelidir.</w:t>
      </w:r>
    </w:p>
    <w:p>
      <w:pPr>
        <w:keepNext/>
      </w:pPr>
      <w:r>
        <w:rPr>
          <w:b/>
          <w:color w:val="000000"/>
        </w:rPr>
        <w:t>HUKUKİ NEDENLER VE DELİLLER</w:t>
      </w:r>
    </w:p>
    <w:p>
      <w:r>
        <w:t>5271 sayılı CMK m. 209–217, 219, 221, 230 ve ilgili mevzuat. Deliller: 10.09.2026 ve 28.09.2026 tarihli duruşma tutanakları; 21.09.2026 tarihli MASAK ek analiz yazısı ve ekleri; UYAP evrak listesi; esas hakkındaki mütalaa; gerçekte mevcut faturalar, sözleşmeler, dekontlar, ticaret sicili ve banka yetki kayıtları; Ek 1 kronoloji ve delil kimlik çizelgesi.</w:t>
      </w:r>
    </w:p>
    <w:p>
      <w:pPr>
        <w:keepNext/>
        <w:pageBreakBefore/>
      </w:pPr>
      <w:r>
        <w:rPr>
          <w:b/>
          <w:color w:val="000000"/>
        </w:rPr>
        <w:t>SONUÇ VE İSTEM</w:t>
      </w:r>
    </w:p>
    <w:p>
      <w:pPr>
        <w:keepLines/>
      </w:pPr>
      <w:r>
        <w:t>Açıklanan nedenlerle; (1) 21.09.2026 tarih ve [sayı] MASAK ek analiz yazısı ile ek işlem tablosunun duruşmada okunup tartışılmadığının tespitine, (2) CMK m. 217/1 uyarınca bu belgelerin tartışılmadan hükme esas alınmamasına, (3) Mahkemenizce değerlendirilmesi düşünülüyorsa belge ve ilgili eklerin CMK m. 209 uyarınca duruşmada okunmasına, sanık ve müdafiine makul inceleme ve karşı belge sunma olanağı tanınmasına, CMK m. 215 uyarınca kanunda sayılanlara diyeceklerinin sorulmasına ve CMK m. 216 delil tartışmasının tamamlanmasına, (4) Cumhuriyet savcısının tartışılmayan belgeye dayanan mütalaa bölümüne karşı ayrıntılı savunma için [somut ihtiyaç kadar] süre verilmesine, (5) bütün istem, açıklama ve ara kararların CMK m. 219 ve 221 uyarınca tutanağa geçirilmesine karar verilmesini saygıyla arz ve talep ederiz. 30/09/2026</w:t>
      </w:r>
    </w:p>
    <w:p>
      <w:pPr>
        <w:keepLines/>
        <w:jc w:val="right"/>
      </w:pPr>
      <w:r>
        <w:t>Sanık Müdafii</w:t>
        <w:br/>
        <w:t>Av. Halil BAKIRCI</w:t>
        <w:br/>
        <w:t>Mersin Barosu Sicil No 3472</w:t>
        <w:br/>
        <w:t>(E-İMZALIDIR)</w:t>
      </w:r>
    </w:p>
    <w:p>
      <w:pPr>
        <w:keepNext/>
      </w:pPr>
      <w:r>
        <w:rPr>
          <w:b/>
          <w:color w:val="000000"/>
        </w:rPr>
        <w:t>EK 1 — KRONOLOJİ VE DELİL KİMLİK ÇİZELGESİ</w:t>
      </w:r>
    </w:p>
    <w:tbl>
      <w:tblPr>
        <w:tblStyle w:val="TableGrid"/>
        <w:tblW w:type="auto" w:w="0"/>
        <w:tblLook w:firstColumn="1" w:firstRow="1" w:lastColumn="0" w:lastRow="0" w:noHBand="0" w:noVBand="1" w:val="04A0"/>
      </w:tblPr>
      <w:tblGrid>
        <w:gridCol w:w="2585"/>
        <w:gridCol w:w="2585"/>
        <w:gridCol w:w="2585"/>
        <w:gridCol w:w="2585"/>
      </w:tblGrid>
      <w:tr>
        <w:tc>
          <w:tcPr>
            <w:tcW w:type="dxa" w:w="2585"/>
          </w:tcPr>
          <w:p>
            <w:r>
              <w:t>İşlem / delil</w:t>
            </w:r>
          </w:p>
        </w:tc>
        <w:tc>
          <w:tcPr>
            <w:tcW w:type="dxa" w:w="2585"/>
          </w:tcPr>
          <w:p>
            <w:r>
              <w:t>Tarih-sayı</w:t>
            </w:r>
          </w:p>
        </w:tc>
        <w:tc>
          <w:tcPr>
            <w:tcW w:type="dxa" w:w="2585"/>
          </w:tcPr>
          <w:p>
            <w:r>
              <w:t>UYAP / tutanak yeri</w:t>
            </w:r>
          </w:p>
        </w:tc>
        <w:tc>
          <w:tcPr>
            <w:tcW w:type="dxa" w:w="2585"/>
          </w:tcPr>
          <w:p>
            <w:r>
              <w:t>Tartışma durumu</w:t>
            </w:r>
          </w:p>
        </w:tc>
      </w:tr>
      <w:tr>
        <w:tc>
          <w:tcPr>
            <w:tcW w:type="dxa" w:w="2585"/>
          </w:tcPr>
          <w:p>
            <w:r>
              <w:t>Delil tartışmasının bitirilmesi</w:t>
            </w:r>
          </w:p>
        </w:tc>
        <w:tc>
          <w:tcPr>
            <w:tcW w:type="dxa" w:w="2585"/>
          </w:tcPr>
          <w:p>
            <w:r>
              <w:t>10.09.2026</w:t>
            </w:r>
          </w:p>
        </w:tc>
        <w:tc>
          <w:tcPr>
            <w:tcW w:type="dxa" w:w="2585"/>
          </w:tcPr>
          <w:p>
            <w:r>
              <w:t>[Tutanak sayfa-satır]</w:t>
            </w:r>
          </w:p>
        </w:tc>
        <w:tc>
          <w:tcPr>
            <w:tcW w:type="dxa" w:w="2585"/>
          </w:tcPr>
          <w:p>
            <w:r>
              <w:t>Bitirildi kaydı</w:t>
            </w:r>
          </w:p>
        </w:tc>
      </w:tr>
      <w:tr>
        <w:tc>
          <w:tcPr>
            <w:tcW w:type="dxa" w:w="2585"/>
          </w:tcPr>
          <w:p>
            <w:r>
              <w:t>MASAK ek analiz yazısı</w:t>
            </w:r>
          </w:p>
        </w:tc>
        <w:tc>
          <w:tcPr>
            <w:tcW w:type="dxa" w:w="2585"/>
          </w:tcPr>
          <w:p>
            <w:r>
              <w:t>21–23.09.2026</w:t>
            </w:r>
          </w:p>
        </w:tc>
        <w:tc>
          <w:tcPr>
            <w:tcW w:type="dxa" w:w="2585"/>
          </w:tcPr>
          <w:p>
            <w:r>
              <w:t>[Sayı ve UYAP evrak no]</w:t>
            </w:r>
          </w:p>
        </w:tc>
        <w:tc>
          <w:tcPr>
            <w:tcW w:type="dxa" w:w="2585"/>
          </w:tcPr>
          <w:p>
            <w:r>
              <w:t>Okunmadı / açıklama alınmadı</w:t>
            </w:r>
          </w:p>
        </w:tc>
      </w:tr>
      <w:tr>
        <w:tc>
          <w:tcPr>
            <w:tcW w:type="dxa" w:w="2585"/>
          </w:tcPr>
          <w:p>
            <w:r>
              <w:t>Esas hakkındaki mütalaa</w:t>
            </w:r>
          </w:p>
        </w:tc>
        <w:tc>
          <w:tcPr>
            <w:tcW w:type="dxa" w:w="2585"/>
          </w:tcPr>
          <w:p>
            <w:r>
              <w:t>28.09.2026</w:t>
            </w:r>
          </w:p>
        </w:tc>
        <w:tc>
          <w:tcPr>
            <w:tcW w:type="dxa" w:w="2585"/>
          </w:tcPr>
          <w:p>
            <w:r>
              <w:t>[Tutanak/mütalaa sayfası]</w:t>
            </w:r>
          </w:p>
        </w:tc>
        <w:tc>
          <w:tcPr>
            <w:tcW w:type="dxa" w:w="2585"/>
          </w:tcPr>
          <w:p>
            <w:r>
              <w:t>Ek analize dayanan bölüm</w:t>
            </w:r>
          </w:p>
        </w:tc>
      </w:tr>
    </w:tbl>
    <w:p>
      <w:pPr>
        <w:keepNext/>
      </w:pPr>
      <w:r>
        <w:rPr>
          <w:b/>
          <w:color w:val="000000"/>
        </w:rPr>
        <w:t>EKLER</w:t>
      </w:r>
    </w:p>
    <w:p>
      <w:pPr>
        <w:pStyle w:val="ListBullet"/>
      </w:pPr>
      <w:r>
        <w:t>Ek 1 Kronoloji ve delil kimlik çizelgesi</w:t>
      </w:r>
    </w:p>
    <w:p>
      <w:pPr>
        <w:pStyle w:val="ListBullet"/>
      </w:pPr>
      <w:r>
        <w:t>Ek 2 İlgili duruşma tutanakları</w:t>
      </w:r>
    </w:p>
    <w:p>
      <w:pPr>
        <w:pStyle w:val="ListBullet"/>
      </w:pPr>
      <w:r>
        <w:t>Ek 3 MASAK ek analiz yazısı ve gerçekten mevcut ekleri</w:t>
      </w:r>
    </w:p>
    <w:p>
      <w:pPr>
        <w:pStyle w:val="ListBullet"/>
      </w:pPr>
      <w:r>
        <w:t>Ek 4 Esas hakkındaki mütalaanın ilgili bölümü</w:t>
      </w:r>
    </w:p>
    <w:p>
      <w:pPr>
        <w:pStyle w:val="ListBullet"/>
      </w:pPr>
      <w:r>
        <w:t>Ek 5 Gerçekte mevcut karşı belgeler</w:t>
      </w:r>
    </w:p>
    <w:p>
      <w:pPr>
        <w:keepNext/>
      </w:pPr>
      <w:r>
        <w:rPr>
          <w:b/>
          <w:color w:val="000000"/>
        </w:rPr>
        <w:t>DOLDURMA KONTROLÜ — SUNULACAK NÜSHADAN ÇIKARIN</w:t>
      </w:r>
    </w:p>
    <w:p>
      <w:pPr>
        <w:pStyle w:val="ListBullet"/>
      </w:pPr>
      <w:r>
        <w:rPr>
          <w:i/>
        </w:rPr>
        <w:t>Mahkeme, dosya, taraf, belge ve UYAP bilgilerini gerçek kayıttan yazın.</w:t>
      </w:r>
    </w:p>
    <w:p>
      <w:pPr>
        <w:pStyle w:val="ListBullet"/>
      </w:pPr>
      <w:r>
        <w:rPr>
          <w:i/>
        </w:rPr>
        <w:t>MASAK, 1.480.000 TL, işlem dağılımı ve tarihler örnektir; dosyada yoksa tamamen değiştirin.</w:t>
      </w:r>
    </w:p>
    <w:p>
      <w:pPr>
        <w:pStyle w:val="ListBullet"/>
      </w:pPr>
      <w:r>
        <w:rPr>
          <w:i/>
        </w:rPr>
        <w:t>Belgenin okunmadığını ve tartışılmadığını gösteren tutanak bölümünü somutlaştırın.</w:t>
      </w:r>
    </w:p>
    <w:p>
      <w:pPr>
        <w:pStyle w:val="ListBullet"/>
      </w:pPr>
      <w:r>
        <w:rPr>
          <w:i/>
        </w:rPr>
        <w:t>Dosyada bulunmayan fatura, tebliğ eksikliği, hesap yetkisi veya teknik sorun üretmeyin.</w:t>
      </w:r>
    </w:p>
    <w:p>
      <w:pPr>
        <w:pStyle w:val="ListBullet"/>
      </w:pPr>
      <w:r>
        <w:rPr>
          <w:i/>
        </w:rPr>
        <w:t>Köşeli alanları, mevcut olmayan ekleri ve bu doldurma kontrolünü nihai nüshadan silin.</w:t>
      </w:r>
    </w:p>
    <w:sectPr w:rsidR="00FC693F" w:rsidRPr="0006063C" w:rsidSect="00034616">
      <w:pgSz w:w="12240" w:h="15840"/>
      <w:pgMar w:top="691" w:right="950" w:bottom="648" w:left="95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24" w:line="240" w:lineRule="auto"/>
    </w:pPr>
    <w:rPr>
      <w:rFonts w:ascii="Aptos" w:hAnsi="Aptos"/>
      <w:color w:val="000000"/>
      <w:sz w:val="1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Aptos Display" w:hAnsi="Aptos Display"/>
      <w:b/>
      <w:color w:val="000000"/>
      <w:spacing w:val="5"/>
      <w:kern w:val="28"/>
      <w:sz w:val="2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