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Garamond" w:hAnsi="Garamond"/>
          <w:b/>
          <w:color w:val="000000"/>
          <w:sz w:val="34"/>
        </w:rPr>
        <w:t>EDS TRAFİK CEZASINA İTİRAZ DİLEKÇESİ</w:t>
      </w:r>
    </w:p>
    <w:p>
      <w:pPr>
        <w:spacing w:after="240" w:line="252" w:lineRule="auto"/>
        <w:jc w:val="center"/>
      </w:pPr>
      <w:r>
        <w:rPr>
          <w:rFonts w:ascii="Garamond" w:hAnsi="Garamond"/>
          <w:b/>
          <w:color w:val="000000"/>
          <w:sz w:val="24"/>
        </w:rPr>
        <w:t>[YETKİLİ YER] SULH CEZA HÂKİMLİĞİNE</w:t>
      </w:r>
    </w:p>
    <w:p>
      <w:pPr>
        <w:spacing w:after="60" w:line="252" w:lineRule="auto"/>
        <w:jc w:val="both"/>
      </w:pPr>
      <w:r>
        <w:rPr>
          <w:rFonts w:ascii="Garamond" w:hAnsi="Garamond"/>
          <w:b/>
          <w:color w:val="000000"/>
          <w:sz w:val="22"/>
        </w:rPr>
        <w:t xml:space="preserve">BAŞVURAN  : </w:t>
      </w:r>
      <w:r>
        <w:rPr>
          <w:rFonts w:ascii="Garamond" w:hAnsi="Garamond"/>
          <w:b w:val="0"/>
          <w:color w:val="000000"/>
          <w:sz w:val="22"/>
        </w:rPr>
        <w:t>[Ad Soyad, T.C. kimlik numarası ve tebligat adresi]</w:t>
      </w:r>
    </w:p>
    <w:p>
      <w:pPr>
        <w:spacing w:after="60" w:line="252" w:lineRule="auto"/>
        <w:jc w:val="both"/>
      </w:pPr>
      <w:r>
        <w:rPr>
          <w:rFonts w:ascii="Garamond" w:hAnsi="Garamond"/>
          <w:b/>
          <w:color w:val="000000"/>
          <w:sz w:val="22"/>
        </w:rPr>
        <w:t xml:space="preserve">VEKİLİ  : </w:t>
      </w:r>
      <w:r>
        <w:rPr>
          <w:rFonts w:ascii="Garamond" w:hAnsi="Garamond"/>
          <w:b w:val="0"/>
          <w:color w:val="000000"/>
          <w:sz w:val="22"/>
        </w:rPr>
        <w:t>[Varsa avukat adı, adresi ve UETS bilgisi]</w:t>
      </w:r>
    </w:p>
    <w:p>
      <w:pPr>
        <w:spacing w:after="60" w:line="252" w:lineRule="auto"/>
        <w:jc w:val="both"/>
      </w:pPr>
      <w:r>
        <w:rPr>
          <w:rFonts w:ascii="Garamond" w:hAnsi="Garamond"/>
          <w:b/>
          <w:color w:val="000000"/>
          <w:sz w:val="22"/>
        </w:rPr>
        <w:t xml:space="preserve">KARARI VEREN İDARİ MAKAM  : </w:t>
      </w:r>
      <w:r>
        <w:rPr>
          <w:rFonts w:ascii="Garamond" w:hAnsi="Garamond"/>
          <w:b w:val="0"/>
          <w:color w:val="000000"/>
          <w:sz w:val="22"/>
        </w:rPr>
        <w:t>[Trafik birimi / kurum adı]</w:t>
      </w:r>
    </w:p>
    <w:p>
      <w:pPr>
        <w:spacing w:after="60" w:line="252" w:lineRule="auto"/>
        <w:jc w:val="both"/>
      </w:pPr>
      <w:r>
        <w:rPr>
          <w:rFonts w:ascii="Garamond" w:hAnsi="Garamond"/>
          <w:b/>
          <w:color w:val="000000"/>
          <w:sz w:val="22"/>
        </w:rPr>
        <w:t xml:space="preserve">TUTANAK SERİ-SIRA NO  : </w:t>
      </w:r>
      <w:r>
        <w:rPr>
          <w:rFonts w:ascii="Garamond" w:hAnsi="Garamond"/>
          <w:b w:val="0"/>
          <w:color w:val="000000"/>
          <w:sz w:val="22"/>
        </w:rPr>
        <w:t>[Tutanakta yazılı numara]</w:t>
      </w:r>
    </w:p>
    <w:p>
      <w:pPr>
        <w:spacing w:after="60" w:line="252" w:lineRule="auto"/>
        <w:jc w:val="both"/>
      </w:pPr>
      <w:r>
        <w:rPr>
          <w:rFonts w:ascii="Garamond" w:hAnsi="Garamond"/>
          <w:b/>
          <w:color w:val="000000"/>
          <w:sz w:val="22"/>
        </w:rPr>
        <w:t xml:space="preserve">ARAÇ PLAKASI  : </w:t>
      </w:r>
      <w:r>
        <w:rPr>
          <w:rFonts w:ascii="Garamond" w:hAnsi="Garamond"/>
          <w:b w:val="0"/>
          <w:color w:val="000000"/>
          <w:sz w:val="22"/>
        </w:rPr>
        <w:t>[Plaka]</w:t>
      </w:r>
    </w:p>
    <w:p>
      <w:pPr>
        <w:spacing w:after="60" w:line="252" w:lineRule="auto"/>
        <w:jc w:val="both"/>
      </w:pPr>
      <w:r>
        <w:rPr>
          <w:rFonts w:ascii="Garamond" w:hAnsi="Garamond"/>
          <w:b/>
          <w:color w:val="000000"/>
          <w:sz w:val="22"/>
        </w:rPr>
        <w:t xml:space="preserve">KARAR VE TEBLİĞ TARİHİ  : </w:t>
      </w:r>
      <w:r>
        <w:rPr>
          <w:rFonts w:ascii="Garamond" w:hAnsi="Garamond"/>
          <w:b w:val="0"/>
          <w:color w:val="000000"/>
          <w:sz w:val="22"/>
        </w:rPr>
        <w:t>[Karar tarihi] / [Tebliğ tarihi]</w:t>
      </w:r>
    </w:p>
    <w:p>
      <w:pPr>
        <w:spacing w:after="60" w:line="252" w:lineRule="auto"/>
        <w:jc w:val="both"/>
      </w:pPr>
      <w:r>
        <w:rPr>
          <w:rFonts w:ascii="Garamond" w:hAnsi="Garamond"/>
          <w:b/>
          <w:color w:val="000000"/>
          <w:sz w:val="22"/>
        </w:rPr>
        <w:t xml:space="preserve">KONU  : </w:t>
      </w:r>
      <w:r>
        <w:rPr>
          <w:rFonts w:ascii="Garamond" w:hAnsi="Garamond"/>
          <w:b w:val="0"/>
          <w:color w:val="000000"/>
          <w:sz w:val="22"/>
        </w:rPr>
        <w:t>EDS kaydına dayanılarak düzenlenen trafik idari para cezasına 5326 sayılı Kanun m.27 uyarınca başvuru ve kaldırma talebidir.</w:t>
      </w:r>
    </w:p>
    <w:p>
      <w:pPr>
        <w:pStyle w:val="Heading1"/>
        <w:spacing w:before="160" w:after="100"/>
      </w:pPr>
      <w:r>
        <w:rPr>
          <w:rFonts w:ascii="Garamond" w:hAnsi="Garamond"/>
          <w:b/>
          <w:color w:val="000000"/>
          <w:sz w:val="22"/>
        </w:rPr>
        <w:t>AÇIKLAMALAR</w:t>
      </w:r>
    </w:p>
    <w:p>
      <w:pPr>
        <w:spacing w:after="100" w:line="252" w:lineRule="auto"/>
        <w:ind w:left="403" w:hanging="403"/>
        <w:jc w:val="both"/>
      </w:pPr>
      <w:r>
        <w:rPr>
          <w:rFonts w:ascii="Garamond" w:hAnsi="Garamond"/>
          <w:b/>
          <w:color w:val="000000"/>
          <w:sz w:val="22"/>
        </w:rPr>
        <w:t xml:space="preserve">1. </w:t>
      </w:r>
      <w:r>
        <w:rPr>
          <w:rFonts w:ascii="Garamond" w:hAnsi="Garamond"/>
          <w:b w:val="0"/>
          <w:color w:val="000000"/>
          <w:sz w:val="22"/>
        </w:rPr>
        <w:t>Başvurana ait [plaka] plakalı araç hakkında, [yer] konumunda [tarih-saat] itibarıyla [isnat edilen ihlal ve madde] gerekçesiyle [tutar] TL trafik idari para cezası düzenlenmiştir. Karar [tebliğ tarihi] tarihinde tebliğ edilmiş olup işbu başvuru yasal süresindedir.</w:t>
      </w:r>
    </w:p>
    <w:p>
      <w:pPr>
        <w:spacing w:after="100" w:line="252" w:lineRule="auto"/>
        <w:ind w:left="403" w:hanging="403"/>
        <w:jc w:val="both"/>
      </w:pPr>
      <w:r>
        <w:rPr>
          <w:rFonts w:ascii="Garamond" w:hAnsi="Garamond"/>
          <w:b/>
          <w:color w:val="000000"/>
          <w:sz w:val="22"/>
        </w:rPr>
        <w:t xml:space="preserve">2. </w:t>
      </w:r>
      <w:r>
        <w:rPr>
          <w:rFonts w:ascii="Garamond" w:hAnsi="Garamond"/>
          <w:b w:val="0"/>
          <w:color w:val="000000"/>
          <w:sz w:val="22"/>
        </w:rPr>
        <w:t>İdari yaptırım kararında ihlalin EDS kaydıyla tespit edildiği belirtilmekle birlikte, somut olaya ilişkin görüntü/video dizisi, ölçüm çıktısı ve olayın hangi şerit, yön ve işaretleme esas alınarak değerlendirildiğini gösteren kayıtlar başvurana eksiksiz sunulmamıştır. Tebligat evrakı ile erişilebilen görüntüler Ek-1 ve Ek-2'dedir.</w:t>
      </w:r>
    </w:p>
    <w:p>
      <w:pPr>
        <w:spacing w:after="100" w:line="252" w:lineRule="auto"/>
        <w:ind w:left="403" w:hanging="403"/>
        <w:jc w:val="both"/>
      </w:pPr>
      <w:r>
        <w:rPr>
          <w:rFonts w:ascii="Garamond" w:hAnsi="Garamond"/>
          <w:b/>
          <w:color w:val="000000"/>
          <w:sz w:val="22"/>
        </w:rPr>
        <w:t xml:space="preserve">3. </w:t>
      </w:r>
      <w:r>
        <w:rPr>
          <w:rFonts w:ascii="Garamond" w:hAnsi="Garamond"/>
          <w:b w:val="0"/>
          <w:color w:val="000000"/>
          <w:sz w:val="22"/>
        </w:rPr>
        <w:t>İsnat maddi vakıaya uymamaktadır. [Somut savunmayı yazın: görüntüdeki plakanın/araç marka-modelinin farklı olması; aracın o tarih ve saatte başka yerde bulunduğunun kayıtlarla sabit olması; aynı olay için mükerrer tutanak; yanlış hız limiti veya yön/şerit eşleştirmesi; ortalama hız koridorunda giriş-çıkış kaydının uyuşmaması; işaretlemenin görülebilir olmaması; zorunluluk hâli.] Bu açıklama [belge adı] ile doğrulanmaktadır.</w:t>
      </w:r>
    </w:p>
    <w:p>
      <w:pPr>
        <w:spacing w:after="100" w:line="252" w:lineRule="auto"/>
        <w:ind w:left="403" w:hanging="403"/>
        <w:jc w:val="both"/>
      </w:pPr>
      <w:r>
        <w:rPr>
          <w:rFonts w:ascii="Garamond" w:hAnsi="Garamond"/>
          <w:b/>
          <w:color w:val="000000"/>
          <w:sz w:val="22"/>
        </w:rPr>
        <w:t xml:space="preserve">4. </w:t>
      </w:r>
      <w:r>
        <w:rPr>
          <w:rFonts w:ascii="Garamond" w:hAnsi="Garamond"/>
          <w:b w:val="0"/>
          <w:color w:val="000000"/>
          <w:sz w:val="22"/>
        </w:rPr>
        <w:t>Elektronik denetim kaydının tek bir kare yerine olayın öncesi ve sonrasını gösteren asıl kayıtlarıyla incelenmesi gerekir. Plaka okunabilirliği, aracın marka-model-renk özellikleri, zaman damgası, koordinat/konum, seyir yönü ve şerit bilgisi birlikte değerlendirilmeden başvurana aidiyet kesinleştirilemez.</w:t>
      </w:r>
    </w:p>
    <w:p>
      <w:pPr>
        <w:spacing w:after="100" w:line="252" w:lineRule="auto"/>
        <w:ind w:left="403" w:hanging="403"/>
        <w:jc w:val="both"/>
      </w:pPr>
      <w:r>
        <w:rPr>
          <w:rFonts w:ascii="Garamond" w:hAnsi="Garamond"/>
          <w:b/>
          <w:color w:val="000000"/>
          <w:sz w:val="22"/>
        </w:rPr>
        <w:t xml:space="preserve">5. </w:t>
      </w:r>
      <w:r>
        <w:rPr>
          <w:rFonts w:ascii="Garamond" w:hAnsi="Garamond"/>
          <w:b w:val="0"/>
          <w:color w:val="000000"/>
          <w:sz w:val="22"/>
        </w:rPr>
        <w:t>İhlal ölçüme dayanıyorsa kullanılan sistemin olay anındaki ölçüm çıktısının, cihaz/sistem kimliğinin ve ölçüm güvenilirliğini gösteren bakım, kontrol veya kalibrasyon kayıtlarının; ihlal işaretlemeye dayanıyorsa olay tarihindeki levha, yol çizgisi ve sinyalizasyon düzenini gösteren kayıtların ilgili idareden getirtilmesini talep ederim.</w:t>
      </w:r>
    </w:p>
    <w:p>
      <w:pPr>
        <w:spacing w:after="100" w:line="252" w:lineRule="auto"/>
        <w:ind w:left="403" w:hanging="403"/>
        <w:jc w:val="both"/>
      </w:pPr>
      <w:r>
        <w:rPr>
          <w:rFonts w:ascii="Garamond" w:hAnsi="Garamond"/>
          <w:b/>
          <w:color w:val="000000"/>
          <w:sz w:val="22"/>
        </w:rPr>
        <w:t xml:space="preserve">6. </w:t>
      </w:r>
      <w:r>
        <w:rPr>
          <w:rFonts w:ascii="Garamond" w:hAnsi="Garamond"/>
          <w:b w:val="0"/>
          <w:color w:val="000000"/>
          <w:sz w:val="22"/>
        </w:rPr>
        <w:t>5326 sayılı Kabahatler Kanunu uyarınca idari yaptırım kararında fiil, deliller, yer, zaman, karar tarihi, başvuru yolu, mercii ve süresi anlaşılır biçimde gösterilmelidir. [Somut eksikliği yazın.] Eksiklik, savunma ve etkili başvuru hakkını olayda esaslı biçimde sınırlandırmaktadır.</w:t>
      </w:r>
    </w:p>
    <w:p>
      <w:pPr>
        <w:spacing w:after="100" w:line="252" w:lineRule="auto"/>
        <w:ind w:left="403" w:hanging="403"/>
        <w:jc w:val="both"/>
      </w:pPr>
      <w:r>
        <w:rPr>
          <w:rFonts w:ascii="Garamond" w:hAnsi="Garamond"/>
          <w:b/>
          <w:color w:val="000000"/>
          <w:sz w:val="22"/>
        </w:rPr>
        <w:t xml:space="preserve">7. </w:t>
      </w:r>
      <w:r>
        <w:rPr>
          <w:rFonts w:ascii="Garamond" w:hAnsi="Garamond"/>
          <w:b w:val="0"/>
          <w:color w:val="000000"/>
          <w:sz w:val="22"/>
        </w:rPr>
        <w:t>Tescil plakasına göre tutanak düzenlenebilmesi tek başına hukuka aykırılık oluşturmaz. Bununla birlikte plaka sahibi ile görüntüdeki aracın eşleştirilmesi ve ihlalin bütün unsurlarının tereddütsüz kanıtlanması gerekir. Başvurum, yalnızca sürücünün durdurulmamış olmasına değil yukarıda açıklanan somut maddi ve delil çelişkilerine dayanmaktadır.</w:t>
      </w:r>
    </w:p>
    <w:p>
      <w:pPr>
        <w:spacing w:after="100" w:line="252" w:lineRule="auto"/>
        <w:ind w:left="403" w:hanging="403"/>
        <w:jc w:val="both"/>
      </w:pPr>
      <w:r>
        <w:rPr>
          <w:rFonts w:ascii="Garamond" w:hAnsi="Garamond"/>
          <w:b/>
          <w:color w:val="000000"/>
          <w:sz w:val="22"/>
        </w:rPr>
        <w:t xml:space="preserve">8. </w:t>
      </w:r>
      <w:r>
        <w:rPr>
          <w:rFonts w:ascii="Garamond" w:hAnsi="Garamond"/>
          <w:b w:val="0"/>
          <w:color w:val="000000"/>
          <w:sz w:val="22"/>
        </w:rPr>
        <w:t>Bu nedenle karar tutanağının dayanağı olan eksiksiz EDS fotoğraf/video kayıtlarının, ham zaman ve konum verilerinin, ölçüm ve sistem kayıtlarının, olay yeri işaretleme belgelerinin ve idari işlem dosyasının tamamının karar veren makamdan istenmesine; kayıtlar üzerinde gerekli görülürse bilirkişi incelemesi yapılmasına karar verilmelidir.</w:t>
      </w:r>
    </w:p>
    <w:p>
      <w:pPr>
        <w:pStyle w:val="Heading1"/>
        <w:spacing w:before="160" w:after="100"/>
      </w:pPr>
      <w:r>
        <w:rPr>
          <w:rFonts w:ascii="Garamond" w:hAnsi="Garamond"/>
          <w:b/>
          <w:color w:val="000000"/>
          <w:sz w:val="22"/>
        </w:rPr>
        <w:t>HUKUKİ NEDENLER</w:t>
      </w:r>
    </w:p>
    <w:p>
      <w:pPr>
        <w:spacing w:after="100" w:line="252" w:lineRule="auto"/>
        <w:ind w:firstLine="576"/>
        <w:jc w:val="both"/>
      </w:pPr>
      <w:r>
        <w:rPr>
          <w:rFonts w:ascii="Garamond" w:hAnsi="Garamond"/>
          <w:b w:val="0"/>
          <w:color w:val="000000"/>
          <w:sz w:val="22"/>
        </w:rPr>
        <w:t>5326 sayılı Kabahatler Kanunu m.25, 26, 27 ve ilgili hükümleri; 2918 sayılı Karayolları Trafik Kanunu; Karayolları Trafik Yönetmeliği; trafik idari para cezası karar tutanaklarına ilişkin düzenlemeler ve ilgili sair mevzuat.</w:t>
      </w:r>
    </w:p>
    <w:p>
      <w:pPr>
        <w:pStyle w:val="Heading1"/>
        <w:spacing w:before="160" w:after="100"/>
      </w:pPr>
      <w:r>
        <w:rPr>
          <w:rFonts w:ascii="Garamond" w:hAnsi="Garamond"/>
          <w:b/>
          <w:color w:val="000000"/>
          <w:sz w:val="22"/>
        </w:rPr>
        <w:t>DELİLLER</w:t>
      </w:r>
    </w:p>
    <w:p>
      <w:pPr>
        <w:spacing w:after="100" w:line="252" w:lineRule="auto"/>
        <w:ind w:firstLine="576"/>
        <w:jc w:val="both"/>
      </w:pPr>
      <w:r>
        <w:rPr>
          <w:rFonts w:ascii="Garamond" w:hAnsi="Garamond"/>
          <w:b w:val="0"/>
          <w:color w:val="000000"/>
          <w:sz w:val="22"/>
        </w:rPr>
        <w:t>Trafik idari para cezası karar tutanağı; tebliğ zarfı ve tebligat belgesi; EDS fotoğraf/video kayıtları; ölçüm çıktıları; cihaz/sistem, bakım, kontrol ve kalibrasyon kayıtları; olay yeri levha, sinyalizasyon ve yol çizgisi kayıtları; araç ruhsatı; HGS/OGS, otopark, servis, konum ve kamera kayıtları; satış/çalınma belgeleri; aynı olaya ait diğer tutanaklar; tanık, bilirkişi ve her türlü yasal delil.</w:t>
      </w:r>
    </w:p>
    <w:p>
      <w:pPr>
        <w:pStyle w:val="Heading1"/>
        <w:spacing w:before="160" w:after="100"/>
      </w:pPr>
      <w:r>
        <w:rPr>
          <w:rFonts w:ascii="Garamond" w:hAnsi="Garamond"/>
          <w:b/>
          <w:color w:val="000000"/>
          <w:sz w:val="22"/>
        </w:rPr>
        <w:t>SONUÇ VE İSTEM</w:t>
      </w:r>
    </w:p>
    <w:p>
      <w:pPr>
        <w:spacing w:after="100" w:line="252" w:lineRule="auto"/>
        <w:ind w:firstLine="576"/>
        <w:jc w:val="both"/>
      </w:pPr>
      <w:r>
        <w:rPr>
          <w:rFonts w:ascii="Garamond" w:hAnsi="Garamond"/>
          <w:b w:val="0"/>
          <w:color w:val="000000"/>
          <w:sz w:val="22"/>
        </w:rPr>
        <w:t>Açıklanan nedenlerle; 1) karar veren idareden idari işlem dosyasının ve yukarıda sayılan EDS/ölçüm kayıtlarının eksiksiz getirtilmesine, 2) gerektiğinde bilirkişi incelemesi yapılmasına, 3) [seri-sıra no] numaralı ve [tarih] tarihli trafik idari para cezasının hukuka aykırılığı nedeniyle kaldırılmasına, 4) varsa yargılama giderlerinin ilgili idare üzerinde bırakılmasına karar verilmesini saygıyla arz ve talep ederim. [Tarih]</w:t>
      </w:r>
    </w:p>
    <w:p>
      <w:pPr>
        <w:spacing w:after="40" w:line="252" w:lineRule="auto"/>
        <w:jc w:val="right"/>
      </w:pPr>
      <w:r>
        <w:rPr>
          <w:rFonts w:ascii="Garamond" w:hAnsi="Garamond"/>
          <w:b/>
          <w:color w:val="000000"/>
          <w:sz w:val="22"/>
        </w:rPr>
        <w:t>Başvuran / Vekili</w:t>
      </w:r>
    </w:p>
    <w:p>
      <w:pPr>
        <w:spacing w:after="40" w:line="252" w:lineRule="auto"/>
        <w:jc w:val="right"/>
      </w:pPr>
      <w:r>
        <w:rPr>
          <w:rFonts w:ascii="Garamond" w:hAnsi="Garamond"/>
          <w:b w:val="0"/>
          <w:color w:val="000000"/>
          <w:sz w:val="22"/>
        </w:rPr>
        <w:t>[Ad Soyad]</w:t>
      </w:r>
    </w:p>
    <w:p>
      <w:pPr>
        <w:spacing w:after="200" w:line="252" w:lineRule="auto"/>
        <w:jc w:val="right"/>
      </w:pPr>
      <w:r>
        <w:rPr>
          <w:rFonts w:ascii="Garamond" w:hAnsi="Garamond"/>
          <w:b w:val="0"/>
          <w:color w:val="000000"/>
          <w:sz w:val="22"/>
        </w:rPr>
        <w:t>[İmza]</w:t>
      </w:r>
    </w:p>
    <w:p>
      <w:pPr>
        <w:pStyle w:val="Heading1"/>
        <w:spacing w:before="160" w:after="100"/>
      </w:pPr>
      <w:r>
        <w:rPr>
          <w:rFonts w:ascii="Garamond" w:hAnsi="Garamond"/>
          <w:b/>
          <w:color w:val="000000"/>
          <w:sz w:val="22"/>
        </w:rPr>
        <w:t>EKLER</w:t>
      </w:r>
    </w:p>
    <w:p>
      <w:pPr>
        <w:spacing w:after="100" w:line="252" w:lineRule="auto"/>
        <w:ind w:left="403" w:hanging="403"/>
        <w:jc w:val="both"/>
      </w:pPr>
      <w:r>
        <w:rPr>
          <w:rFonts w:ascii="Garamond" w:hAnsi="Garamond"/>
          <w:b/>
          <w:color w:val="000000"/>
          <w:sz w:val="22"/>
        </w:rPr>
        <w:t xml:space="preserve">1. </w:t>
      </w:r>
      <w:r>
        <w:rPr>
          <w:rFonts w:ascii="Garamond" w:hAnsi="Garamond"/>
          <w:b w:val="0"/>
          <w:color w:val="000000"/>
          <w:sz w:val="22"/>
        </w:rPr>
        <w:t>Trafik idari para cezası karar tutanağı</w:t>
      </w:r>
    </w:p>
    <w:p>
      <w:pPr>
        <w:spacing w:after="100" w:line="252" w:lineRule="auto"/>
        <w:ind w:left="403" w:hanging="403"/>
        <w:jc w:val="both"/>
      </w:pPr>
      <w:r>
        <w:rPr>
          <w:rFonts w:ascii="Garamond" w:hAnsi="Garamond"/>
          <w:b/>
          <w:color w:val="000000"/>
          <w:sz w:val="22"/>
        </w:rPr>
        <w:t xml:space="preserve">2. </w:t>
      </w:r>
      <w:r>
        <w:rPr>
          <w:rFonts w:ascii="Garamond" w:hAnsi="Garamond"/>
          <w:b w:val="0"/>
          <w:color w:val="000000"/>
          <w:sz w:val="22"/>
        </w:rPr>
        <w:t>Tebliğ zarfı, e-tebligat veya tebliğ tarihini gösteren belge</w:t>
      </w:r>
    </w:p>
    <w:p>
      <w:pPr>
        <w:spacing w:after="100" w:line="252" w:lineRule="auto"/>
        <w:ind w:left="403" w:hanging="403"/>
        <w:jc w:val="both"/>
      </w:pPr>
      <w:r>
        <w:rPr>
          <w:rFonts w:ascii="Garamond" w:hAnsi="Garamond"/>
          <w:b/>
          <w:color w:val="000000"/>
          <w:sz w:val="22"/>
        </w:rPr>
        <w:t xml:space="preserve">3. </w:t>
      </w:r>
      <w:r>
        <w:rPr>
          <w:rFonts w:ascii="Garamond" w:hAnsi="Garamond"/>
          <w:b w:val="0"/>
          <w:color w:val="000000"/>
          <w:sz w:val="22"/>
        </w:rPr>
        <w:t>EDS görüntüsü ve erişilebilen elektronik kayıtlar</w:t>
      </w:r>
    </w:p>
    <w:p>
      <w:pPr>
        <w:spacing w:after="100" w:line="252" w:lineRule="auto"/>
        <w:ind w:left="403" w:hanging="403"/>
        <w:jc w:val="both"/>
      </w:pPr>
      <w:r>
        <w:rPr>
          <w:rFonts w:ascii="Garamond" w:hAnsi="Garamond"/>
          <w:b/>
          <w:color w:val="000000"/>
          <w:sz w:val="22"/>
        </w:rPr>
        <w:t xml:space="preserve">4. </w:t>
      </w:r>
      <w:r>
        <w:rPr>
          <w:rFonts w:ascii="Garamond" w:hAnsi="Garamond"/>
          <w:b w:val="0"/>
          <w:color w:val="000000"/>
          <w:sz w:val="22"/>
        </w:rPr>
        <w:t>Araç ruhsatı ve başvuran kimlik örneği</w:t>
      </w:r>
    </w:p>
    <w:p>
      <w:pPr>
        <w:spacing w:after="100" w:line="252" w:lineRule="auto"/>
        <w:ind w:left="403" w:hanging="403"/>
        <w:jc w:val="both"/>
      </w:pPr>
      <w:r>
        <w:rPr>
          <w:rFonts w:ascii="Garamond" w:hAnsi="Garamond"/>
          <w:b/>
          <w:color w:val="000000"/>
          <w:sz w:val="22"/>
        </w:rPr>
        <w:t xml:space="preserve">5. </w:t>
      </w:r>
      <w:r>
        <w:rPr>
          <w:rFonts w:ascii="Garamond" w:hAnsi="Garamond"/>
          <w:b w:val="0"/>
          <w:color w:val="000000"/>
          <w:sz w:val="22"/>
        </w:rPr>
        <w:t>Somut itirazı doğrulayan konum, kamera, otopark, servis, HGS/OGS veya diğer belgeler</w:t>
      </w:r>
    </w:p>
    <w:p>
      <w:pPr>
        <w:spacing w:after="100" w:line="252" w:lineRule="auto"/>
        <w:ind w:left="403" w:hanging="403"/>
        <w:jc w:val="both"/>
      </w:pPr>
      <w:r>
        <w:rPr>
          <w:rFonts w:ascii="Garamond" w:hAnsi="Garamond"/>
          <w:b/>
          <w:color w:val="000000"/>
          <w:sz w:val="22"/>
        </w:rPr>
        <w:t xml:space="preserve">6. </w:t>
      </w:r>
      <w:r>
        <w:rPr>
          <w:rFonts w:ascii="Garamond" w:hAnsi="Garamond"/>
          <w:b w:val="0"/>
          <w:color w:val="000000"/>
          <w:sz w:val="22"/>
        </w:rPr>
        <w:t>Olay yerindeki levha, sinyalizasyon ve yol durumuna ilişkin tarihli kayıtlar [varsa]</w:t>
      </w:r>
    </w:p>
    <w:p>
      <w:pPr>
        <w:spacing w:after="100" w:line="252" w:lineRule="auto"/>
        <w:ind w:left="403" w:hanging="403"/>
        <w:jc w:val="both"/>
      </w:pPr>
      <w:r>
        <w:rPr>
          <w:rFonts w:ascii="Garamond" w:hAnsi="Garamond"/>
          <w:b/>
          <w:color w:val="000000"/>
          <w:sz w:val="22"/>
        </w:rPr>
        <w:t xml:space="preserve">7. </w:t>
      </w:r>
      <w:r>
        <w:rPr>
          <w:rFonts w:ascii="Garamond" w:hAnsi="Garamond"/>
          <w:b w:val="0"/>
          <w:color w:val="000000"/>
          <w:sz w:val="22"/>
        </w:rPr>
        <w:t>Mükerrer tutanak, satış, kiralama veya çalınma belgeleri [uygunsa]</w:t>
      </w:r>
    </w:p>
    <w:p>
      <w:pPr>
        <w:spacing w:after="100" w:line="252" w:lineRule="auto"/>
        <w:ind w:left="403" w:hanging="403"/>
        <w:jc w:val="both"/>
      </w:pPr>
      <w:r>
        <w:rPr>
          <w:rFonts w:ascii="Garamond" w:hAnsi="Garamond"/>
          <w:b/>
          <w:color w:val="000000"/>
          <w:sz w:val="22"/>
        </w:rPr>
        <w:t xml:space="preserve">8. </w:t>
      </w:r>
      <w:r>
        <w:rPr>
          <w:rFonts w:ascii="Garamond" w:hAnsi="Garamond"/>
          <w:b w:val="0"/>
          <w:color w:val="000000"/>
          <w:sz w:val="22"/>
        </w:rPr>
        <w:t>Vekâletname [varsa]</w:t>
      </w:r>
    </w:p>
    <w:p>
      <w:pPr>
        <w:pStyle w:val="Heading1"/>
        <w:spacing w:before="160" w:after="100"/>
      </w:pPr>
      <w:r>
        <w:rPr>
          <w:rFonts w:ascii="Garamond" w:hAnsi="Garamond"/>
          <w:b/>
          <w:color w:val="000000"/>
          <w:sz w:val="22"/>
        </w:rPr>
        <w:t>DOSYAYA UYARLAMA NOTLARI</w:t>
      </w:r>
    </w:p>
    <w:p>
      <w:pPr>
        <w:spacing w:after="80" w:line="252" w:lineRule="auto"/>
        <w:ind w:left="403" w:hanging="403"/>
        <w:jc w:val="both"/>
      </w:pPr>
      <w:r>
        <w:rPr>
          <w:rFonts w:ascii="Garamond" w:hAnsi="Garamond"/>
          <w:b/>
          <w:color w:val="000000"/>
          <w:sz w:val="22"/>
        </w:rPr>
        <w:t xml:space="preserve">• </w:t>
      </w:r>
      <w:r>
        <w:rPr>
          <w:rFonts w:ascii="Garamond" w:hAnsi="Garamond"/>
          <w:b w:val="0"/>
          <w:color w:val="000000"/>
          <w:sz w:val="22"/>
        </w:rPr>
        <w:t>On beş günlük başvuru süresini tutanağın düzenlendiği tarihten değil, kural olarak tebliğ veya tefhim tarihinden hesaplayın; tebliğ belgesini mutlaka ekleyin.</w:t>
      </w:r>
    </w:p>
    <w:p>
      <w:pPr>
        <w:spacing w:after="80" w:line="252" w:lineRule="auto"/>
        <w:ind w:left="403" w:hanging="403"/>
        <w:jc w:val="both"/>
      </w:pPr>
      <w:r>
        <w:rPr>
          <w:rFonts w:ascii="Garamond" w:hAnsi="Garamond"/>
          <w:b/>
          <w:color w:val="000000"/>
          <w:sz w:val="22"/>
        </w:rPr>
        <w:t xml:space="preserve">• </w:t>
      </w:r>
      <w:r>
        <w:rPr>
          <w:rFonts w:ascii="Garamond" w:hAnsi="Garamond"/>
          <w:b w:val="0"/>
          <w:color w:val="000000"/>
          <w:sz w:val="22"/>
        </w:rPr>
        <w:t>Bir aylık indirimli ödeme süresi ile on beş günlük sulh ceza başvuru süresini karıştırmayın.</w:t>
      </w:r>
    </w:p>
    <w:p>
      <w:pPr>
        <w:spacing w:after="80" w:line="252" w:lineRule="auto"/>
        <w:ind w:left="403" w:hanging="403"/>
        <w:jc w:val="both"/>
      </w:pPr>
      <w:r>
        <w:rPr>
          <w:rFonts w:ascii="Garamond" w:hAnsi="Garamond"/>
          <w:b/>
          <w:color w:val="000000"/>
          <w:sz w:val="22"/>
        </w:rPr>
        <w:t xml:space="preserve">• </w:t>
      </w:r>
      <w:r>
        <w:rPr>
          <w:rFonts w:ascii="Garamond" w:hAnsi="Garamond"/>
          <w:b w:val="0"/>
          <w:color w:val="000000"/>
          <w:sz w:val="22"/>
        </w:rPr>
        <w:t>'Araç durdurulmadı' veya 'fotoğraf tebligata eklenmedi' cümlesini tek başına gerekçe yapmayın; görüntü ve ölçümdeki somut çelişkiyi gösterin.</w:t>
      </w:r>
    </w:p>
    <w:p>
      <w:pPr>
        <w:spacing w:after="80" w:line="252" w:lineRule="auto"/>
        <w:ind w:left="403" w:hanging="403"/>
        <w:jc w:val="both"/>
      </w:pPr>
      <w:r>
        <w:rPr>
          <w:rFonts w:ascii="Garamond" w:hAnsi="Garamond"/>
          <w:b/>
          <w:color w:val="000000"/>
          <w:sz w:val="22"/>
        </w:rPr>
        <w:t xml:space="preserve">• </w:t>
      </w:r>
      <w:r>
        <w:rPr>
          <w:rFonts w:ascii="Garamond" w:hAnsi="Garamond"/>
          <w:b w:val="0"/>
          <w:color w:val="000000"/>
          <w:sz w:val="22"/>
        </w:rPr>
        <w:t>Aynı plaka fakat farklı marka, model veya renk görünüyorsa ruhsat ve karşılaştırmalı fotoğraf ekleyin; plaka okuma hatasını açıkça işaretleyin.</w:t>
      </w:r>
    </w:p>
    <w:p>
      <w:pPr>
        <w:spacing w:after="80" w:line="252" w:lineRule="auto"/>
        <w:ind w:left="403" w:hanging="403"/>
        <w:jc w:val="both"/>
      </w:pPr>
      <w:r>
        <w:rPr>
          <w:rFonts w:ascii="Garamond" w:hAnsi="Garamond"/>
          <w:b/>
          <w:color w:val="000000"/>
          <w:sz w:val="22"/>
        </w:rPr>
        <w:t xml:space="preserve">• </w:t>
      </w:r>
      <w:r>
        <w:rPr>
          <w:rFonts w:ascii="Garamond" w:hAnsi="Garamond"/>
          <w:b w:val="0"/>
          <w:color w:val="000000"/>
          <w:sz w:val="22"/>
        </w:rPr>
        <w:t>Sürücü belgesine el koyma, iptal, ceza puanı veya trafikten men işlemi de varsa bunların görevli merci ve sürelerini ayrıca inceleyin.</w:t>
      </w:r>
    </w:p>
    <w:p>
      <w:pPr>
        <w:spacing w:after="80" w:line="252" w:lineRule="auto"/>
        <w:ind w:left="403" w:hanging="403"/>
        <w:jc w:val="both"/>
      </w:pPr>
      <w:r>
        <w:rPr>
          <w:rFonts w:ascii="Garamond" w:hAnsi="Garamond"/>
          <w:b/>
          <w:color w:val="000000"/>
          <w:sz w:val="22"/>
        </w:rPr>
        <w:t xml:space="preserve">• </w:t>
      </w:r>
      <w:r>
        <w:rPr>
          <w:rFonts w:ascii="Garamond" w:hAnsi="Garamond"/>
          <w:b w:val="0"/>
          <w:color w:val="000000"/>
          <w:sz w:val="22"/>
        </w:rPr>
        <w:t>UYAP Vatandaş Portal üzerinden gönderim için e-imza veya mobil imza gerekebilir; elektronik başvurunun tamamlandığını evrak numarasıyla kontrol edin.</w:t>
      </w:r>
    </w:p>
    <w:p>
      <w:pPr>
        <w:spacing w:after="100" w:line="252" w:lineRule="auto"/>
        <w:jc w:val="both"/>
      </w:pPr>
      <w:r>
        <w:rPr>
          <w:rFonts w:ascii="Garamond" w:hAnsi="Garamond"/>
          <w:b w:val="0"/>
          <w:color w:val="000000"/>
          <w:sz w:val="22"/>
        </w:rPr>
        <w:t>Güncelleme: 14 Eylül 2026. Bu belge genel örnektir; isnat edilen trafik kuralı, tebligat, delil ve görev/yetki somut dosyaya göre kontrol edilmelidir.</w:t>
      </w:r>
    </w:p>
    <w:sectPr w:rsidR="00FC693F" w:rsidRPr="0006063C" w:rsidSect="00034616">
      <w:footerReference w:type="default" r:id="rId9"/>
      <w:pgSz w:w="12240" w:h="15840"/>
      <w:pgMar w:top="1123" w:right="1296" w:bottom="108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Garamond" w:hAnsi="Garamond"/>
        <w:b w:val="0"/>
        <w:color w:val="000000"/>
        <w:sz w:val="18"/>
      </w:rPr>
      <w:t xml:space="preserve">halilbakirci.av.tr  |  Bilgilendirme amaçlı örnek  |  Sayfa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aramond" w:hAnsi="Garamond"/>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aramond" w:hAnsi="Garamond"/>
      <w:b/>
      <w:bCs/>
      <w:color w:val="000000"/>
      <w:sz w:val="22"/>
      <w:szCs w:val="28"/>
      <w:u w:val="single"/>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aramond" w:hAnsi="Garamond"/>
      <w:b/>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EDS Trafik Cezasına İtiraz Dilekçesi 2026</dc:title>
  <dc:subject>5326 sayılı Kanun m.27 kapsamında EDS trafik idari para cezasına itiraz</dc:subject>
  <dc:creator>Bakırcı &amp; Keskin Hukuk Bürosu</dc:creator>
  <cp:keywords>EDS cezası itiraz, trafik cezası, sulh ceza hakimliği, dilekçe</cp:keywords>
  <dc:description>generated by python-docx</dc:description>
  <cp:lastModifiedBy/>
  <cp:revision>1</cp:revision>
  <dcterms:created xsi:type="dcterms:W3CDTF">2013-12-23T23:15:00Z</dcterms:created>
  <dcterms:modified xsi:type="dcterms:W3CDTF">2013-12-23T23:15:00Z</dcterms:modified>
  <cp:category/>
</cp:coreProperties>
</file>