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spacing w:before="0" w:after="100" w:line="276" w:lineRule="auto"/>
      </w:pPr>
      <w:r>
        <w:rPr>
          <w:rFonts w:ascii="Times New Roman" w:hAnsi="Times New Roman" w:eastAsia="Times New Roman"/>
          <w:b/>
          <w:sz w:val="18"/>
          <w:szCs w:val="18"/>
        </w:rPr>
        <w:t xml:space="preserve">PRO ÖRNEK DİLEKÇE — EMEKLI BANKA PROMOSYONU UYUŞMAZLIĞI DAVA DILEKÇESI</w:t>
      </w:r>
    </w:p>
    <w:p>
      <w:pPr>
        <w:jc w:val="center"/>
        <w:spacing w:before="120" w:after="220" w:line="276" w:lineRule="auto"/>
      </w:pPr>
      <w:r>
        <w:rPr>
          <w:rFonts w:ascii="Times New Roman" w:hAnsi="Times New Roman" w:eastAsia="Times New Roman"/>
          <w:b/>
          <w:sz w:val="25"/>
          <w:szCs w:val="25"/>
        </w:rPr>
        <w:t xml:space="preserve">[YETKİLİ YER] NÖBETÇİ TÜKETİCİ MAHKEMESİ SAYIN HÂKİMLİĞİNE</w:t>
      </w:r>
    </w:p>
    <w:p>
      <w:pPr>
        <w:spacing w:after="60"/>
        <w:tabs>
          <w:tab w:val="left" w:pos="2700"/>
        </w:tabs>
      </w:pPr>
      <w:r>
        <w:rPr>
          <w:rFonts w:ascii="Times New Roman" w:hAnsi="Times New Roman" w:eastAsia="Times New Roman"/>
          <w:b/>
          <w:sz w:val="23"/>
          <w:szCs w:val="23"/>
        </w:rPr>
        <w:t xml:space="preserve">DAVACI	: </w:t>
      </w:r>
      <w:r>
        <w:rPr>
          <w:rFonts w:ascii="Times New Roman" w:hAnsi="Times New Roman" w:eastAsia="Times New Roman"/>
          <w:sz w:val="23"/>
          <w:szCs w:val="23"/>
        </w:rPr>
        <w:t xml:space="preserve">[EMEKLİ/TÜKETİCİ AD SOYAD]</w:t>
      </w:r>
    </w:p>
    <w:p>
      <w:pPr>
        <w:spacing w:after="60"/>
        <w:tabs>
          <w:tab w:val="left" w:pos="2700"/>
        </w:tabs>
      </w:pPr>
      <w:r>
        <w:rPr>
          <w:rFonts w:ascii="Times New Roman" w:hAnsi="Times New Roman" w:eastAsia="Times New Roman"/>
          <w:b/>
          <w:sz w:val="23"/>
          <w:szCs w:val="23"/>
        </w:rPr>
        <w:t xml:space="preserve">VEKİLİ	: </w:t>
      </w:r>
      <w:r>
        <w:rPr>
          <w:rFonts w:ascii="Times New Roman" w:hAnsi="Times New Roman" w:eastAsia="Times New Roman"/>
          <w:sz w:val="23"/>
          <w:szCs w:val="23"/>
        </w:rPr>
        <w:t xml:space="preserve">Av. Halil Bakırcı</w:t>
      </w:r>
    </w:p>
    <w:p>
      <w:pPr>
        <w:spacing w:after="60"/>
        <w:tabs>
          <w:tab w:val="left" w:pos="2700"/>
        </w:tabs>
      </w:pPr>
      <w:r>
        <w:rPr>
          <w:rFonts w:ascii="Times New Roman" w:hAnsi="Times New Roman" w:eastAsia="Times New Roman"/>
          <w:b/>
          <w:sz w:val="23"/>
          <w:szCs w:val="23"/>
        </w:rPr>
        <w:t xml:space="preserve">DAVALI	: </w:t>
      </w:r>
      <w:r>
        <w:rPr>
          <w:rFonts w:ascii="Times New Roman" w:hAnsi="Times New Roman" w:eastAsia="Times New Roman"/>
          <w:sz w:val="23"/>
          <w:szCs w:val="23"/>
        </w:rPr>
        <w:t xml:space="preserve">[BANKA UNVANI]</w:t>
      </w:r>
    </w:p>
    <w:p>
      <w:pPr>
        <w:spacing w:after="60"/>
        <w:tabs>
          <w:tab w:val="left" w:pos="2700"/>
        </w:tabs>
      </w:pPr>
      <w:r>
        <w:rPr>
          <w:rFonts w:ascii="Times New Roman" w:hAnsi="Times New Roman" w:eastAsia="Times New Roman"/>
          <w:b/>
          <w:sz w:val="23"/>
          <w:szCs w:val="23"/>
        </w:rPr>
        <w:t xml:space="preserve">KONU	: </w:t>
      </w:r>
      <w:r>
        <w:rPr>
          <w:rFonts w:ascii="Times New Roman" w:hAnsi="Times New Roman" w:eastAsia="Times New Roman"/>
          <w:sz w:val="23"/>
          <w:szCs w:val="23"/>
        </w:rPr>
        <w:t xml:space="preserve">Emekli maaşı promosyon sözleşmesi kapsamında eksik/ödenmeyen promosyonun tahsili veya haksız iade/kesinti işleminin iptali ve bedelin iadesi talebidir.</w:t>
      </w:r>
    </w:p>
    <w:p>
      <w:pPr>
        <w:jc w:val="left"/>
        <w:spacing w:before="180" w:after="80" w:line="276" w:lineRule="auto"/>
      </w:pPr>
      <w:r>
        <w:rPr>
          <w:rFonts w:ascii="Times New Roman" w:hAnsi="Times New Roman" w:eastAsia="Times New Roman"/>
          <w:b/>
          <w:sz w:val="23"/>
          <w:szCs w:val="23"/>
        </w:rPr>
        <w:t xml:space="preserve">USUL / KULLANIM NOTU</w:t>
      </w:r>
    </w:p>
    <w:p>
      <w:pPr>
        <w:jc w:val="both"/>
        <w:spacing w:before="0" w:after="120" w:line="276" w:lineRule="auto"/>
      </w:pPr>
      <w:r>
        <w:rPr>
          <w:rFonts w:ascii="Times New Roman" w:hAnsi="Times New Roman" w:eastAsia="Times New Roman"/>
          <w:sz w:val="23"/>
          <w:szCs w:val="23"/>
        </w:rPr>
        <w:t xml:space="preserve">Uyuşmazlık tutarı bakımından tüketici hakem heyeti görev sınırı ve dava şartı arabuluculuk güncel mevzuata göre kontrol edilmelidir.</w:t>
      </w:r>
    </w:p>
    <w:p>
      <w:pPr>
        <w:jc w:val="left"/>
        <w:spacing w:before="180" w:after="80" w:line="276" w:lineRule="auto"/>
      </w:pPr>
      <w:r>
        <w:rPr>
          <w:rFonts w:ascii="Times New Roman" w:hAnsi="Times New Roman" w:eastAsia="Times New Roman"/>
          <w:b/>
          <w:sz w:val="23"/>
          <w:szCs w:val="23"/>
        </w:rPr>
        <w:t xml:space="preserve">AÇIKLAMALAR</w:t>
      </w:r>
    </w:p>
    <w:p>
      <w:pPr>
        <w:jc w:val="both"/>
        <w:spacing w:before="0" w:after="130" w:line="276" w:lineRule="auto"/>
        <w:ind w:firstLine="360"/>
      </w:pPr>
      <w:r>
        <w:rPr>
          <w:rFonts w:ascii="Times New Roman" w:hAnsi="Times New Roman" w:eastAsia="Times New Roman"/>
          <w:sz w:val="23"/>
          <w:szCs w:val="23"/>
        </w:rPr>
        <w:t xml:space="preserve">1. Davacı emekli aylığını [BANKA] aracılığıyla almakta ve [TARİH] tarihinde [SÜRE] yıllık promosyon taahhüdü vermiştir. Sözleşmede öngörülen promosyon [TUTAR] TL’dir. Bu vakıanın dosyadaki maddi karşılığı, ekli belgeler ve gerektiğinde ilgili kurumdan getirilecek kayıtlarla denetlenebilir durumdadır.</w:t>
      </w:r>
    </w:p>
    <w:p>
      <w:pPr>
        <w:jc w:val="both"/>
        <w:spacing w:before="0" w:after="130" w:line="276" w:lineRule="auto"/>
        <w:ind w:firstLine="360"/>
      </w:pPr>
      <w:r>
        <w:rPr>
          <w:rFonts w:ascii="Times New Roman" w:hAnsi="Times New Roman" w:eastAsia="Times New Roman"/>
          <w:sz w:val="23"/>
          <w:szCs w:val="23"/>
        </w:rPr>
        <w:t xml:space="preserve">2. Banka promosyonu hiç ödememiş, eksik ödemiş veya banka değişikliği nedeniyle sözleşmede öngörülmeyen/hesabı hatalı bir iade kesintisi yapmıştır. Hesap ekstresi ve taahhütname karşılaştırıldığında fark görülmektedir. Anlatılan husus, talep sonucuna doğrudan etkili olduğundan tarih ve belge bağlantısı korunarak mahkemenin değerlendirmesine sunulmaktadır.</w:t>
      </w:r>
    </w:p>
    <w:p>
      <w:pPr>
        <w:jc w:val="both"/>
        <w:spacing w:before="0" w:after="130" w:line="276" w:lineRule="auto"/>
        <w:ind w:firstLine="360"/>
      </w:pPr>
      <w:r>
        <w:rPr>
          <w:rFonts w:ascii="Times New Roman" w:hAnsi="Times New Roman" w:eastAsia="Times New Roman"/>
          <w:sz w:val="23"/>
          <w:szCs w:val="23"/>
        </w:rPr>
        <w:t xml:space="preserve">3. Davacının bankaya yaptığı yazılı başvuru sonuçsuz kalmıştır. Bankanın promosyon hesaplama yöntemi, kalan taahhüt süresi ve yapılan kesintinin dayanak kayıtları celbedilmelidir. Karşı tarafın aksi yöndeki olası beyanlarının soyut kalmaması için bu olayın objektif kayıtlarla karşılaştırılması gerekmektedir.</w:t>
      </w:r>
    </w:p>
    <w:p>
      <w:pPr>
        <w:jc w:val="both"/>
        <w:spacing w:before="0" w:after="130" w:line="276" w:lineRule="auto"/>
        <w:ind w:firstLine="360"/>
      </w:pPr>
      <w:r>
        <w:rPr>
          <w:rFonts w:ascii="Times New Roman" w:hAnsi="Times New Roman" w:eastAsia="Times New Roman"/>
          <w:sz w:val="23"/>
          <w:szCs w:val="23"/>
        </w:rPr>
        <w:t xml:space="preserve">4. Haksız kesinti/eksik ödeme nedeniyle davacının alacağı [TUTAR] TL olup uygun faiz başlangıç tarihiyle tahsil talep edilmektedir. Belge asılları veya doğrulanabilir elektronik kayıtlar gerektiğinde ibraz edilecek; delilin kaynağı ve bütünlüğü korunacaktır.</w:t>
      </w:r>
    </w:p>
    <w:p>
      <w:pPr>
        <w:jc w:val="both"/>
        <w:spacing w:before="0" w:after="130" w:line="276" w:lineRule="auto"/>
        <w:ind w:firstLine="360"/>
      </w:pPr>
      <w:r>
        <w:rPr>
          <w:rFonts w:ascii="Times New Roman" w:hAnsi="Times New Roman" w:eastAsia="Times New Roman"/>
          <w:sz w:val="23"/>
          <w:szCs w:val="23"/>
        </w:rPr>
        <w:t xml:space="preserve">5. Tüketici uyuşmazlığında öncelikle işlemin tüketici işlemi niteliği, taraf sıfatları ve uyuşmazlık tutarı belirlenmelidir. Hakem heyeti görev sınırı ile dava şartı arabuluculuk, dava tarihindeki güncel düzenlemeye göre kontrol edilmeden doğrudan mahkemeye başvurulmamalıdır.</w:t>
      </w:r>
    </w:p>
    <w:p>
      <w:pPr>
        <w:jc w:val="both"/>
        <w:spacing w:before="0" w:after="130" w:line="276" w:lineRule="auto"/>
        <w:ind w:firstLine="360"/>
      </w:pPr>
      <w:r>
        <w:rPr>
          <w:rFonts w:ascii="Times New Roman" w:hAnsi="Times New Roman" w:eastAsia="Times New Roman"/>
          <w:sz w:val="23"/>
          <w:szCs w:val="23"/>
        </w:rPr>
        <w:t xml:space="preserve">6. Sözleşme, fatura, ödeme ve servis/başvuru kayıtları zaman çizelgesine bağlanmalıdır. Tüketicinin hangi seçimlik hakkı kullandığı açıkça belirtilmeli ve birbirini dışlayan talepler aynı anda sonuç bölümüne yazılmamalıdır.</w:t>
      </w:r>
    </w:p>
    <w:p>
      <w:pPr>
        <w:jc w:val="both"/>
        <w:spacing w:before="0" w:after="130" w:line="276" w:lineRule="auto"/>
        <w:ind w:firstLine="360"/>
      </w:pPr>
      <w:r>
        <w:rPr>
          <w:rFonts w:ascii="Times New Roman" w:hAnsi="Times New Roman" w:eastAsia="Times New Roman"/>
          <w:sz w:val="23"/>
          <w:szCs w:val="23"/>
        </w:rPr>
        <w:t xml:space="preserve">7. Teknik uyuşmazlıklarda ürün veya hizmetteki ayıp, uyuşmazlığın niteliğine göre bilirkişi incelemesiyle belirlenir. Satıcı, sağlayıcı, üretici, ithalatçı ve banka gibi olası sorumluların hangi talep bakımından davalı gösterildiği somut mevzuata göre ayrıştırılmalıdır.</w:t>
      </w:r>
    </w:p>
    <w:p>
      <w:pPr>
        <w:jc w:val="both"/>
        <w:spacing w:before="0" w:after="130" w:line="276" w:lineRule="auto"/>
        <w:ind w:firstLine="360"/>
      </w:pPr>
      <w:r>
        <w:rPr>
          <w:rFonts w:ascii="Times New Roman" w:hAnsi="Times New Roman" w:eastAsia="Times New Roman"/>
          <w:sz w:val="23"/>
          <w:szCs w:val="23"/>
        </w:rPr>
        <w:t xml:space="preserve">8. Görev ve usul bakımından bu örnek [YETKİLİ YER] NÖBETÇİ TÜKETİCİ MAHKEMESİ SAYIN HÂKİMLİĞİNE hitabıyla kurulmuştur. Somut dosyanın yetkili yeri, taraf sıfatı, dava şartı ve ön başvuru koşulları dosya belgeleri üzerinden ayrıca kontrol edilmelidir. Uyuşmazlık tutarı bakımından tüketici hakem heyeti görev sınırı ve dava şartı arabuluculuk güncel mevzuata göre kontrol edilmelidir. Dilekçe verilmeden önce tebligat/öğrenme tarihi ile varsa arabuluculuk, idari başvuru, kanun yolu veya soruşturma-kovuşturma aşaması dosya kaydıyla doğrulanmalıdır.</w:t>
      </w:r>
    </w:p>
    <w:p>
      <w:pPr>
        <w:jc w:val="both"/>
        <w:spacing w:before="0" w:after="130" w:line="276" w:lineRule="auto"/>
        <w:ind w:firstLine="360"/>
      </w:pPr>
      <w:r>
        <w:rPr>
          <w:rFonts w:ascii="Times New Roman" w:hAnsi="Times New Roman" w:eastAsia="Times New Roman"/>
          <w:sz w:val="23"/>
          <w:szCs w:val="23"/>
        </w:rPr>
        <w:t xml:space="preserve">9. İspat planı bakımından öncelikli deliller Promosyon taahhütnamesi/sözleşme, Emekli maaş hesabı ekstresi, Banka başvuru ve cevapları, Kesinti/ödeme kayıtları olarak belirlenmiştir. Her delilin dilekçedeki belirli bir vakıayı ispatlaması amaçlanmalı; başka kurumda bulunan kayıt için kurum adı, kayıt dönemi ve istenen veri açıkça yazılmalıdır. Elektronik delillerde ekran görüntüsünün yanında kaynağın aslı, zaman bilgisi ve doğrulanabilirlik unsurları korunmalıdır.</w:t>
      </w:r>
    </w:p>
    <w:p>
      <w:pPr>
        <w:jc w:val="both"/>
        <w:spacing w:before="0" w:after="130" w:line="276" w:lineRule="auto"/>
        <w:ind w:firstLine="360"/>
      </w:pPr>
      <w:r>
        <w:rPr>
          <w:rFonts w:ascii="Times New Roman" w:hAnsi="Times New Roman" w:eastAsia="Times New Roman"/>
          <w:sz w:val="23"/>
          <w:szCs w:val="23"/>
        </w:rPr>
        <w:t xml:space="preserve">10. Savunma denetimi; dosya türüne göre süre, görev, yetki, taraf sıfatı, ödeme veya ifa, kusur, illiyet, delilin hukuka uygunluğu ve işlemin dayanağı başlıkları üzerinden yapılır. Emekli Banka Promosyonu Uyuşmazlığı Dava Dilekçesi bakımından cevap verilecek savunma, yalnız genel hukuk cümleleriyle değil; kronoloji ve objektif kayıtlarla çürütülmelidir. Böylece mahkeme hangi çekişmeli olgunun hangi belgeyle aydınlatılacağını doğrudan görebilir.</w:t>
      </w:r>
    </w:p>
    <w:p>
      <w:pPr>
        <w:jc w:val="both"/>
        <w:spacing w:before="0" w:after="130" w:line="276" w:lineRule="auto"/>
        <w:ind w:firstLine="360"/>
      </w:pPr>
      <w:r>
        <w:rPr>
          <w:rFonts w:ascii="Times New Roman" w:hAnsi="Times New Roman" w:eastAsia="Times New Roman"/>
          <w:sz w:val="23"/>
          <w:szCs w:val="23"/>
        </w:rPr>
        <w:t xml:space="preserve">11. Talep sonucu, kararın infazında tereddüt yaratmayacak açıklıkta kurulmalıdır. Bu örnekte temel talepler şunlardır: Eksik promosyon/haksız kesinti tutarının davalıdan tahsiline; Uygun tarihten itibaren yasal faize; Banka hesaplama ve sözleşme kayıtlarının celbine. Somut dosyada asıl ve fer'î talepler ayrılmalı; para alacağı varsa tutar, faiz türü ve başlangıcı; iptal/tespit talebi varsa işlem veya hukuki ilişkinin tam kimliği; tedbir talebi varsa korunması istenen hakkın niteliği açıkça gösterilmelidir.</w:t>
      </w:r>
    </w:p>
    <w:p>
      <w:pPr>
        <w:jc w:val="both"/>
        <w:spacing w:before="0" w:after="130" w:line="276" w:lineRule="auto"/>
        <w:ind w:firstLine="360"/>
      </w:pPr>
      <w:r>
        <w:rPr>
          <w:rFonts w:ascii="Times New Roman" w:hAnsi="Times New Roman" w:eastAsia="Times New Roman"/>
          <w:sz w:val="23"/>
          <w:szCs w:val="23"/>
        </w:rPr>
        <w:t xml:space="preserve">12. Dilekçeye eklenecek her belge Ek-1, Ek-2 biçiminde numaralandırılmalı ve metin içinde ilk geçtiği yerde atıf yapılmalıdır. Sunulacak suretlerin okunaklı olması, yabancı dildeki belgelerin gerektiğinde usulüne uygun tercümesinin eklenmesi ve kişisel verilerin uyuşmazlıkla ilgisiz kısımlarının gereksiz yere yayılmaması dosya düzeni bakımından önemlidir.</w:t>
      </w:r>
    </w:p>
    <w:p>
      <w:pPr>
        <w:jc w:val="both"/>
        <w:spacing w:before="0" w:after="130" w:line="276" w:lineRule="auto"/>
        <w:ind w:firstLine="360"/>
      </w:pPr>
      <w:r>
        <w:rPr>
          <w:rFonts w:ascii="Times New Roman" w:hAnsi="Times New Roman" w:eastAsia="Times New Roman"/>
          <w:sz w:val="23"/>
          <w:szCs w:val="23"/>
        </w:rPr>
        <w:t xml:space="preserve">13. Somut dosyada emekli banka promosyonu uyuşmazlığı dava dilekçesi talebi yönünden görev, yetki, süre, dava şartı ve taraf sıfatı son kez kontrol edildikten sonra ekler numaralandırılmalı; sonuç ve istem bölümü yalnız gerçekten talep edilen hukuki sonuçları içermelidir. Dilekçe, vekâletname ve ekler arasında isim, tarih, tutar ve dosya numarası yönünden çelişki bırakılmamalıdır.</w:t>
      </w:r>
    </w:p>
    <w:p>
      <w:pPr>
        <w:jc w:val="left"/>
        <w:spacing w:before="180" w:after="80" w:line="276" w:lineRule="auto"/>
      </w:pPr>
      <w:r>
        <w:rPr>
          <w:rFonts w:ascii="Times New Roman" w:hAnsi="Times New Roman" w:eastAsia="Times New Roman"/>
          <w:b/>
          <w:sz w:val="23"/>
          <w:szCs w:val="23"/>
        </w:rPr>
        <w:t xml:space="preserve">HUKUKİ NEDENLER</w:t>
      </w:r>
    </w:p>
    <w:p>
      <w:pPr>
        <w:jc w:val="both"/>
        <w:spacing w:before="0" w:after="120" w:line="276" w:lineRule="auto"/>
      </w:pPr>
      <w:r>
        <w:rPr>
          <w:rFonts w:ascii="Times New Roman" w:hAnsi="Times New Roman" w:eastAsia="Times New Roman"/>
          <w:sz w:val="23"/>
          <w:szCs w:val="23"/>
        </w:rPr>
        <w:t xml:space="preserve">6502 sayılı Kanun, 6098 sayılı TBK, 5411 sayılı Bankacılık Kanunu ve promosyon sözleşmesi/taahhütnamesi; 6100 sayılı HMK.</w:t>
      </w:r>
    </w:p>
    <w:p>
      <w:pPr>
        <w:jc w:val="left"/>
        <w:spacing w:before="180" w:after="80" w:line="276" w:lineRule="auto"/>
      </w:pPr>
      <w:r>
        <w:rPr>
          <w:rFonts w:ascii="Times New Roman" w:hAnsi="Times New Roman" w:eastAsia="Times New Roman"/>
          <w:b/>
          <w:sz w:val="23"/>
          <w:szCs w:val="23"/>
        </w:rPr>
        <w:t xml:space="preserve">DELİLLER</w:t>
      </w:r>
    </w:p>
    <w:p>
      <w:pPr>
        <w:jc w:val="left"/>
        <w:spacing w:before="0" w:after="60" w:line="276" w:lineRule="auto"/>
      </w:pPr>
      <w:r>
        <w:rPr>
          <w:rFonts w:ascii="Times New Roman" w:hAnsi="Times New Roman" w:eastAsia="Times New Roman"/>
          <w:sz w:val="23"/>
          <w:szCs w:val="23"/>
        </w:rPr>
        <w:t xml:space="preserve">1. Promosyon taahhütnamesi/sözleşme</w:t>
      </w:r>
    </w:p>
    <w:p>
      <w:pPr>
        <w:jc w:val="left"/>
        <w:spacing w:before="0" w:after="60" w:line="276" w:lineRule="auto"/>
      </w:pPr>
      <w:r>
        <w:rPr>
          <w:rFonts w:ascii="Times New Roman" w:hAnsi="Times New Roman" w:eastAsia="Times New Roman"/>
          <w:sz w:val="23"/>
          <w:szCs w:val="23"/>
        </w:rPr>
        <w:t xml:space="preserve">2. Emekli maaş hesabı ekstresi</w:t>
      </w:r>
    </w:p>
    <w:p>
      <w:pPr>
        <w:jc w:val="left"/>
        <w:spacing w:before="0" w:after="60" w:line="276" w:lineRule="auto"/>
      </w:pPr>
      <w:r>
        <w:rPr>
          <w:rFonts w:ascii="Times New Roman" w:hAnsi="Times New Roman" w:eastAsia="Times New Roman"/>
          <w:sz w:val="23"/>
          <w:szCs w:val="23"/>
        </w:rPr>
        <w:t xml:space="preserve">3. Banka başvuru ve cevapları</w:t>
      </w:r>
    </w:p>
    <w:p>
      <w:pPr>
        <w:jc w:val="left"/>
        <w:spacing w:before="0" w:after="60" w:line="276" w:lineRule="auto"/>
      </w:pPr>
      <w:r>
        <w:rPr>
          <w:rFonts w:ascii="Times New Roman" w:hAnsi="Times New Roman" w:eastAsia="Times New Roman"/>
          <w:sz w:val="23"/>
          <w:szCs w:val="23"/>
        </w:rPr>
        <w:t xml:space="preserve">4. Kesinti/ödeme kayıtları</w:t>
      </w:r>
    </w:p>
    <w:p>
      <w:pPr>
        <w:jc w:val="both"/>
        <w:spacing w:before="0" w:after="120" w:line="276" w:lineRule="auto"/>
      </w:pPr>
      <w:r>
        <w:rPr>
          <w:rFonts w:ascii="Times New Roman" w:hAnsi="Times New Roman" w:eastAsia="Times New Roman"/>
          <w:sz w:val="23"/>
          <w:szCs w:val="23"/>
        </w:rPr>
        <w:t xml:space="preserve">Her türlü yasal delil; karşı tarafın sunacağı delillere karşı delil sunma hakkımız saklıdır.</w:t>
      </w:r>
    </w:p>
    <w:p>
      <w:pPr>
        <w:jc w:val="left"/>
        <w:spacing w:before="180" w:after="80" w:line="276" w:lineRule="auto"/>
      </w:pPr>
      <w:r>
        <w:rPr>
          <w:rFonts w:ascii="Times New Roman" w:hAnsi="Times New Roman" w:eastAsia="Times New Roman"/>
          <w:b/>
          <w:sz w:val="23"/>
          <w:szCs w:val="23"/>
        </w:rPr>
        <w:t xml:space="preserve">SONUÇ VE İSTEM</w:t>
      </w:r>
    </w:p>
    <w:p>
      <w:pPr>
        <w:jc w:val="both"/>
        <w:spacing w:before="0" w:after="100" w:line="276" w:lineRule="auto"/>
      </w:pPr>
      <w:r>
        <w:rPr>
          <w:rFonts w:ascii="Times New Roman" w:hAnsi="Times New Roman" w:eastAsia="Times New Roman"/>
          <w:sz w:val="23"/>
          <w:szCs w:val="23"/>
        </w:rPr>
        <w:t xml:space="preserve">Yukarıda arz ve izah edilen nedenlerle ve Mahkemenizce re’sen gözetilecek hususlar saklı kalmak kaydıyla;</w:t>
      </w:r>
    </w:p>
    <w:p>
      <w:pPr>
        <w:jc w:val="both"/>
        <w:spacing w:before="0" w:after="60" w:line="276" w:lineRule="auto"/>
      </w:pPr>
      <w:r>
        <w:rPr>
          <w:rFonts w:ascii="Times New Roman" w:hAnsi="Times New Roman" w:eastAsia="Times New Roman"/>
          <w:sz w:val="23"/>
          <w:szCs w:val="23"/>
        </w:rPr>
        <w:t xml:space="preserve">1. Eksik promosyon/haksız kesinti tutarının davalıdan tahsiline,</w:t>
      </w:r>
    </w:p>
    <w:p>
      <w:pPr>
        <w:jc w:val="both"/>
        <w:spacing w:before="0" w:after="60" w:line="276" w:lineRule="auto"/>
      </w:pPr>
      <w:r>
        <w:rPr>
          <w:rFonts w:ascii="Times New Roman" w:hAnsi="Times New Roman" w:eastAsia="Times New Roman"/>
          <w:sz w:val="23"/>
          <w:szCs w:val="23"/>
        </w:rPr>
        <w:t xml:space="preserve">2. Uygun tarihten itibaren yasal faize,</w:t>
      </w:r>
    </w:p>
    <w:p>
      <w:pPr>
        <w:jc w:val="both"/>
        <w:spacing w:before="0" w:after="60" w:line="276" w:lineRule="auto"/>
      </w:pPr>
      <w:r>
        <w:rPr>
          <w:rFonts w:ascii="Times New Roman" w:hAnsi="Times New Roman" w:eastAsia="Times New Roman"/>
          <w:sz w:val="23"/>
          <w:szCs w:val="23"/>
        </w:rPr>
        <w:t xml:space="preserve">3. Banka hesaplama ve sözleşme kayıtlarının celbine,</w:t>
      </w:r>
    </w:p>
    <w:p>
      <w:pPr>
        <w:jc w:val="both"/>
        <w:spacing w:before="0" w:after="60" w:line="276" w:lineRule="auto"/>
      </w:pPr>
      <w:r>
        <w:rPr>
          <w:rFonts w:ascii="Times New Roman" w:hAnsi="Times New Roman" w:eastAsia="Times New Roman"/>
          <w:sz w:val="23"/>
          <w:szCs w:val="23"/>
        </w:rPr>
        <w:t xml:space="preserve">4. Yargılama giderleri ve vekâlet ücretinin davalıya yükletilmesine,</w:t>
      </w:r>
    </w:p>
    <w:p>
      <w:pPr>
        <w:jc w:val="both"/>
        <w:spacing w:before="0" w:after="220" w:line="276" w:lineRule="auto"/>
      </w:pPr>
      <w:r>
        <w:rPr>
          <w:rFonts w:ascii="Times New Roman" w:hAnsi="Times New Roman" w:eastAsia="Times New Roman"/>
          <w:sz w:val="23"/>
          <w:szCs w:val="23"/>
        </w:rPr>
        <w:t xml:space="preserve">karar verilmesini saygıyla vekâleten arz ve talep ederiz. [TARİH]</w:t>
      </w:r>
    </w:p>
    <w:p>
      <w:pPr>
        <w:jc w:val="right"/>
        <w:spacing w:before="0" w:after="200" w:line="276" w:lineRule="auto"/>
      </w:pPr>
      <w:r>
        <w:rPr>
          <w:rFonts w:ascii="Times New Roman" w:hAnsi="Times New Roman" w:eastAsia="Times New Roman"/>
          <w:b/>
          <w:sz w:val="23"/>
          <w:szCs w:val="23"/>
        </w:rPr>
        <w:t xml:space="preserve">Davacı Vekili</w:t>
      </w:r>
      <w:r>
        <w:br/>
      </w:r>
      <w:r>
        <w:rPr>
          <w:rFonts w:ascii="Times New Roman" w:hAnsi="Times New Roman" w:eastAsia="Times New Roman"/>
          <w:b/>
          <w:sz w:val="23"/>
          <w:szCs w:val="23"/>
        </w:rPr>
        <w:t xml:space="preserve">Av. Halil Bakırcı</w:t>
      </w:r>
      <w:r>
        <w:br/>
      </w:r>
      <w:r>
        <w:rPr>
          <w:rFonts w:ascii="Times New Roman" w:hAnsi="Times New Roman" w:eastAsia="Times New Roman"/>
          <w:b/>
          <w:sz w:val="23"/>
          <w:szCs w:val="23"/>
        </w:rPr>
        <w:t xml:space="preserve">(E-İMZALIDIR / Islak imza gerektiren kullanımda imzalanır)</w:t>
      </w:r>
    </w:p>
    <w:p>
      <w:pPr>
        <w:jc w:val="left"/>
        <w:spacing w:before="180" w:after="80" w:line="276" w:lineRule="auto"/>
      </w:pPr>
      <w:r>
        <w:rPr>
          <w:rFonts w:ascii="Times New Roman" w:hAnsi="Times New Roman" w:eastAsia="Times New Roman"/>
          <w:b/>
          <w:sz w:val="23"/>
          <w:szCs w:val="23"/>
        </w:rPr>
        <w:t xml:space="preserve">EKLER</w:t>
      </w:r>
    </w:p>
    <w:p>
      <w:pPr>
        <w:jc w:val="left"/>
        <w:spacing w:before="0" w:after="50" w:line="276" w:lineRule="auto"/>
      </w:pPr>
      <w:r>
        <w:rPr>
          <w:rFonts w:ascii="Times New Roman" w:hAnsi="Times New Roman" w:eastAsia="Times New Roman"/>
          <w:sz w:val="23"/>
          <w:szCs w:val="23"/>
        </w:rPr>
        <w:t xml:space="preserve">Ek-1: Promosyon taahhütnamesi/sözleşme</w:t>
      </w:r>
    </w:p>
    <w:p>
      <w:pPr>
        <w:jc w:val="left"/>
        <w:spacing w:before="0" w:after="50" w:line="276" w:lineRule="auto"/>
      </w:pPr>
      <w:r>
        <w:rPr>
          <w:rFonts w:ascii="Times New Roman" w:hAnsi="Times New Roman" w:eastAsia="Times New Roman"/>
          <w:sz w:val="23"/>
          <w:szCs w:val="23"/>
        </w:rPr>
        <w:t xml:space="preserve">Ek-2: Emekli maaş hesabı ekstresi</w:t>
      </w:r>
    </w:p>
    <w:p>
      <w:pPr>
        <w:jc w:val="left"/>
        <w:spacing w:before="0" w:after="50" w:line="276" w:lineRule="auto"/>
      </w:pPr>
      <w:r>
        <w:rPr>
          <w:rFonts w:ascii="Times New Roman" w:hAnsi="Times New Roman" w:eastAsia="Times New Roman"/>
          <w:sz w:val="23"/>
          <w:szCs w:val="23"/>
        </w:rPr>
        <w:t xml:space="preserve">Ek-3: Banka başvuru ve cevapları</w:t>
      </w:r>
    </w:p>
    <w:p>
      <w:pPr>
        <w:jc w:val="left"/>
        <w:spacing w:before="0" w:after="50" w:line="276" w:lineRule="auto"/>
      </w:pPr>
      <w:r>
        <w:rPr>
          <w:rFonts w:ascii="Times New Roman" w:hAnsi="Times New Roman" w:eastAsia="Times New Roman"/>
          <w:sz w:val="23"/>
          <w:szCs w:val="23"/>
        </w:rPr>
        <w:t xml:space="preserve">Ek-4: Kesinti/ödeme kayıtları</w:t>
      </w:r>
    </w:p>
    <w:p>
      <w:r>
        <w:br w:type="page"/>
      </w:r>
    </w:p>
    <w:p>
      <w:pPr>
        <w:jc w:val="center"/>
        <w:spacing w:before="0" w:after="160" w:line="276" w:lineRule="auto"/>
      </w:pPr>
      <w:r>
        <w:rPr>
          <w:rFonts w:ascii="Times New Roman" w:hAnsi="Times New Roman" w:eastAsia="Times New Roman"/>
          <w:b/>
          <w:sz w:val="24"/>
          <w:szCs w:val="24"/>
        </w:rPr>
        <w:t xml:space="preserve">DOSYAYA UYARLAMA VE SON KONTROL SAYFASI</w:t>
      </w:r>
    </w:p>
    <w:p>
      <w:pPr>
        <w:jc w:val="both"/>
        <w:spacing w:before="0" w:after="140" w:line="276" w:lineRule="auto"/>
      </w:pPr>
      <w:r>
        <w:rPr>
          <w:rFonts w:ascii="Times New Roman" w:hAnsi="Times New Roman" w:eastAsia="Times New Roman"/>
          <w:sz w:val="23"/>
          <w:szCs w:val="23"/>
        </w:rPr>
        <w:t xml:space="preserve">Bu sayfa mahkemeye sunulmaz. Dilekçe örneğini kullanmadan önce aşağıdaki alanları gerçek dosya bilgileriyle değiştirin ve görev, yetki, süre, dava şartı ile vekâlet ilişkisini doğrulayın.</w:t>
      </w:r>
    </w:p>
    <w:p>
      <w:pPr>
        <w:jc w:val="left"/>
        <w:spacing w:before="0" w:after="70" w:line="276" w:lineRule="auto"/>
      </w:pPr>
      <w:r>
        <w:rPr>
          <w:rFonts w:ascii="Times New Roman" w:hAnsi="Times New Roman" w:eastAsia="Times New Roman"/>
          <w:sz w:val="22"/>
          <w:szCs w:val="22"/>
        </w:rPr>
        <w:t xml:space="preserve">☐ Mahkeme/merci adı ve yetkili yer gerçek dosyaya göre düzeltildi.</w:t>
      </w:r>
    </w:p>
    <w:p>
      <w:pPr>
        <w:jc w:val="left"/>
        <w:spacing w:before="0" w:after="70" w:line="276" w:lineRule="auto"/>
      </w:pPr>
      <w:r>
        <w:rPr>
          <w:rFonts w:ascii="Times New Roman" w:hAnsi="Times New Roman" w:eastAsia="Times New Roman"/>
          <w:sz w:val="22"/>
          <w:szCs w:val="22"/>
        </w:rPr>
        <w:t xml:space="preserve">☐ Esas/karar, icra, başvuru ve işlem numaraları gerçek kayıtlarla eşleştirildi.</w:t>
      </w:r>
    </w:p>
    <w:p>
      <w:pPr>
        <w:jc w:val="left"/>
        <w:spacing w:before="0" w:after="70" w:line="276" w:lineRule="auto"/>
      </w:pPr>
      <w:r>
        <w:rPr>
          <w:rFonts w:ascii="Times New Roman" w:hAnsi="Times New Roman" w:eastAsia="Times New Roman"/>
          <w:sz w:val="22"/>
          <w:szCs w:val="22"/>
        </w:rPr>
        <w:t xml:space="preserve">☐ Taraf adları, T.C. kimlik/vergi numaraları ve tebligat adresleri kontrol edildi.</w:t>
      </w:r>
    </w:p>
    <w:p>
      <w:pPr>
        <w:jc w:val="left"/>
        <w:spacing w:before="0" w:after="70" w:line="276" w:lineRule="auto"/>
      </w:pPr>
      <w:r>
        <w:rPr>
          <w:rFonts w:ascii="Times New Roman" w:hAnsi="Times New Roman" w:eastAsia="Times New Roman"/>
          <w:sz w:val="22"/>
          <w:szCs w:val="22"/>
        </w:rPr>
        <w:t xml:space="preserve">☐ Tarih, tutar, faiz başlangıcı ve süre hesabı tebliğ/öğrenme belgelerine göre yapıldı.</w:t>
      </w:r>
    </w:p>
    <w:p>
      <w:pPr>
        <w:jc w:val="left"/>
        <w:spacing w:before="0" w:after="70" w:line="276" w:lineRule="auto"/>
      </w:pPr>
      <w:r>
        <w:rPr>
          <w:rFonts w:ascii="Times New Roman" w:hAnsi="Times New Roman" w:eastAsia="Times New Roman"/>
          <w:sz w:val="22"/>
          <w:szCs w:val="22"/>
        </w:rPr>
        <w:t xml:space="preserve">☐ Her olayın karşısında onu ispatlayan belge veya celp talebi bulunuyor.</w:t>
      </w:r>
    </w:p>
    <w:p>
      <w:pPr>
        <w:jc w:val="left"/>
        <w:spacing w:before="0" w:after="70" w:line="276" w:lineRule="auto"/>
      </w:pPr>
      <w:r>
        <w:rPr>
          <w:rFonts w:ascii="Times New Roman" w:hAnsi="Times New Roman" w:eastAsia="Times New Roman"/>
          <w:sz w:val="22"/>
          <w:szCs w:val="22"/>
        </w:rPr>
        <w:t xml:space="preserve">☐ Ekler numaralandırıldı; elektronik belgelerin asılları ve doğrulama bilgileri korundu.</w:t>
      </w:r>
    </w:p>
    <w:p>
      <w:pPr>
        <w:jc w:val="left"/>
        <w:spacing w:before="0" w:after="70" w:line="276" w:lineRule="auto"/>
      </w:pPr>
      <w:r>
        <w:rPr>
          <w:rFonts w:ascii="Times New Roman" w:hAnsi="Times New Roman" w:eastAsia="Times New Roman"/>
          <w:sz w:val="22"/>
          <w:szCs w:val="22"/>
        </w:rPr>
        <w:t xml:space="preserve">☐ Sonuç ve istem, yalnız gerçekten talep edilen hukuki sonuçları içeriyor.</w:t>
      </w:r>
    </w:p>
    <w:p>
      <w:pPr>
        <w:jc w:val="left"/>
        <w:spacing w:before="0" w:after="70" w:line="276" w:lineRule="auto"/>
      </w:pPr>
      <w:r>
        <w:rPr>
          <w:rFonts w:ascii="Times New Roman" w:hAnsi="Times New Roman" w:eastAsia="Times New Roman"/>
          <w:sz w:val="22"/>
          <w:szCs w:val="22"/>
        </w:rPr>
        <w:t xml:space="preserve">☐ “Vekili Av. Halil Bakırcı” ibaresi yalnız gerçek vekâlet ilişkisi ve geçerli vekâletname varsa somut başvuruda vekil sıfatıyla kullanılmalıdır.</w:t>
      </w:r>
    </w:p>
    <w:p>
      <w:pPr>
        <w:jc w:val="left"/>
        <w:spacing w:before="120" w:after="70" w:line="276" w:lineRule="auto"/>
      </w:pPr>
      <w:r>
        <w:rPr>
          <w:rFonts w:ascii="Times New Roman" w:hAnsi="Times New Roman" w:eastAsia="Times New Roman"/>
          <w:b/>
          <w:sz w:val="21"/>
          <w:szCs w:val="21"/>
        </w:rPr>
        <w:t xml:space="preserve">Belge kaynağı: halilbakirci.av.tr — Bakırcı &amp; Keskin Hukuk Bürosu</w:t>
      </w:r>
    </w:p>
    <w:p>
      <w:pPr>
        <w:jc w:val="left"/>
        <w:spacing w:before="0" w:after="70" w:line="276" w:lineRule="auto"/>
      </w:pPr>
      <w:r>
        <w:rPr>
          <w:rFonts w:ascii="Times New Roman" w:hAnsi="Times New Roman" w:eastAsia="Times New Roman"/>
          <w:b/>
          <w:sz w:val="21"/>
          <w:szCs w:val="21"/>
        </w:rPr>
        <w:t xml:space="preserve">Hazırlayan / hukuki inceleme: Av. Halil Bakırcı, Mersin Barosu Sicil No: 3472</w:t>
      </w:r>
    </w:p>
    <w:sectPr>
      <w:footerReference w:type="default" r:id="rId2"/>
      <w:pgSz w:w="11906" w:h="16838"/>
      <w:pgMar w:top="1247" w:right="1134" w:bottom="1134" w:left="1417" w:header="454" w:footer="454" w:gutter="0"/>
    </w:sectPr>
  </w:body>
</w:document>
</file>

<file path=word/footer1.xml><?xml version="1.0" encoding="utf-8"?>
<w:ftr xmlns:w="http://schemas.openxmlformats.org/wordprocessingml/2006/main">
  <w:p>
    <w:pPr>
      <w:jc w:val="center"/>
    </w:pPr>
    <w:r>
      <w:rPr>
        <w:rFonts w:ascii="Times New Roman" w:hAnsi="Times New Roman" w:eastAsia="Times New Roman"/>
        <w:sz w:val="16"/>
        <w:szCs w:val="16"/>
      </w:rPr>
      <w:t xml:space="preserve">Örnek Dilekçe • Av. Halil Bakırcı • Mersin Barosu Sicil No: 3472 • halilbakirci.av.tr • Sayfa </w:t>
    </w:r>
    <w:r>
      <w:rPr>
        <w:rFonts w:ascii="Times New Roman" w:hAnsi="Times New Roman"/>
        <w:sz w:val="16"/>
      </w:rPr>
      <w:fldChar w:fldCharType="begin"/>
    </w:r>
    <w:r>
      <w:instrText xml:space="preserve"> PAGE </w:instrText>
    </w:r>
    <w:r>
      <w:fldChar w:fldCharType="end"/>
    </w:r>
  </w:p>
</w:ftr>
</file>

<file path=word/styles.xml><?xml version="1.0" encoding="utf-8"?>
<w:styles xmlns:w="http://schemas.openxmlformats.org/wordprocessingml/2006/main">
  <w:docDefaults>
    <w:rPrDefault>
      <w:rPr>
        <w:rFonts w:ascii="Times New Roman" w:hAnsi="Times New Roman" w:eastAsia="Times New Roman"/>
        <w:sz w:val="23"/>
        <w:szCs w:val="23"/>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Application>Microsoft Office Word</Application>
  <Company>Bakırcı &amp; Keskin Hukuk Bürosu</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Emekli Banka Promosyonu Uyuşmazlığı Dava Dilekçesi</dc:title>
  <dc:subject>Profesyonel örnek dilekçe – düzenlenebilir Word belgesi</dc:subject>
  <dc:creator>Av. Halil Bakırcı</dc:creator>
  <cp:lastModifiedBy>Av. Halil Bakırcı</cp:lastModifiedBy>
  <dcterms:created xsi:type="dcterms:W3CDTF">2026-09-10T22:21:27Z</dcterms:created>
  <dcterms:modified xsi:type="dcterms:W3CDTF">2026-09-10T22:21:27Z</dcterms:modified>
</cp:coreProperties>
</file>