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091</w:t>
      </w:r>
    </w:p>
    <w:p>
      <w:pPr>
        <w:pStyle w:val="Title"/>
        <w:jc w:val="center"/>
      </w:pPr>
      <w:r>
        <w:t>Emekli Emlak Vergisi Muafiyet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Taşınmazın bulunduğu belediyenin emlak vergisi birimi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Koşulların oluştuğu yıl için belediyeye bildirim yapılır; geçmiş dönem düzeltme ve iade taleplerinde zamanaşımı ayrıca hesaplanır.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Sıfır oran koşulları her yıl, taşınmaz ve malik yönünden ayrı kontrol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1319 sayılı Emlak Vergisi Kanunu m. 8; İlgili Cumhurbaşkanı kararı ve tebliğler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Brüt alanı 200 metrekareyi geçmeyen tek mesken, gelir ve kullanım koşulları belediye kayıtları ile belgelenmelidir.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TAŞINMAZIN BULUNDUĞU BELEDIYENIN EMLAK VERGISI BIRIMI'NA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Sıfır oranlı emlak vergisi uygulanması.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Koşulların oluştuğu yıl için belediyeye bildirim yapılır; geçmiş dönem düzeltme ve iade taleplerinde zamanaşımı ayrıca hesaplanır.</w:t>
      </w:r>
    </w:p>
    <w:p>
      <w:r>
        <w:t>2. Taşınmazın niteliği ve brüt alanı: [SOMUT OLAYI TARİH, YER, KİŞİ VE BELGEYLE UYUMLU OLARAK AÇIKLAYIN].</w:t>
      </w:r>
    </w:p>
    <w:p>
      <w:r>
        <w:t>3. Tek mesken şartı: [SOMUT OLAYI TARİH, YER, KİŞİ VE BELGEYLE UYUMLU OLARAK AÇIKLAYIN].</w:t>
      </w:r>
    </w:p>
    <w:p>
      <w:r>
        <w:t>4. Emeklilik veya gelir durumu: [SOMUT OLAYI TARİH, YER, KİŞİ VE BELGEYLE UYUMLU OLARAK AÇIKLAYIN].</w:t>
      </w:r>
    </w:p>
    <w:p>
      <w:r>
        <w:t>5. Meskenin kullanım şekli: [SOMUT OLAYI TARİH, YER, KİŞİ VE BELGEYLE UYUMLU OLARAK AÇIKLAYIN].</w:t>
      </w:r>
    </w:p>
    <w:p>
      <w:r>
        <w:t>6. Önceki vergi tahakkukları: [SOMUT OLAYI TARİH, YER, KİŞİ VE BELGEYLE UYUMLU OLARAK AÇIKLAYIN].</w:t>
      </w:r>
    </w:p>
    <w:p>
      <w:r>
        <w:t>7. Temel hukuki sonuç: Brüt alanı 200 metrekareyi geçmeyen tek mesken, gelir ve kullanım koşulları belediye kayıtları ile belgelenmelidir.</w:t>
      </w:r>
    </w:p>
    <w:p>
      <w:r>
        <w:t>8. Başvuru öncesi kontrol: Sıfır oran koşulları her yıl, taşınmaz ve malik yönünden ayrı kontrol edilmelidir.</w:t>
      </w:r>
    </w:p>
    <w:p>
      <w:pPr>
        <w:pStyle w:val="Heading1"/>
      </w:pPr>
      <w:r>
        <w:t>HUKUKİ NEDENLER</w:t>
      </w:r>
    </w:p>
    <w:p>
      <w:r>
        <w:t>1319 sayılı Emlak Vergisi Kanunu m. 8; İlgili Cumhurbaşkanı kararı ve tebliğler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Tapu kaydı [EK NUMARASI / TARİH]</w:t>
      </w:r>
    </w:p>
    <w:p>
      <w:pPr>
        <w:pStyle w:val="ListBullet"/>
        <w:spacing w:after="60"/>
      </w:pPr>
      <w:r>
        <w:t>Emekli aylık belgesi [EK NUMARASI / TARİH]</w:t>
      </w:r>
    </w:p>
    <w:p>
      <w:pPr>
        <w:pStyle w:val="ListBullet"/>
        <w:spacing w:after="60"/>
      </w:pPr>
      <w:r>
        <w:t>Gelir durum belgesi [EK NUMARASI / TARİH]</w:t>
      </w:r>
    </w:p>
    <w:p>
      <w:pPr>
        <w:pStyle w:val="ListBullet"/>
        <w:spacing w:after="60"/>
      </w:pPr>
      <w:r>
        <w:t>Belediye emlak beyanı [EK NUMARASI / TARİH]</w:t>
      </w:r>
    </w:p>
    <w:p>
      <w:pPr>
        <w:pStyle w:val="ListBullet"/>
        <w:spacing w:after="60"/>
      </w:pPr>
      <w:r>
        <w:t>Vergi tahakkuk ve ödeme makbuzları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Sıfır oranlı emlak vergisi uygulanması,</w:t>
      </w:r>
    </w:p>
    <w:p>
      <w:r>
        <w:t>2. Hatalı tahakkukun düzeltilmesi,</w:t>
      </w:r>
    </w:p>
    <w:p>
      <w:r>
        <w:t>3. Koşulları varsa fazla ödemenin iadesi,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Tapu kaydı</w:t>
      </w:r>
    </w:p>
    <w:p>
      <w:r>
        <w:t>2. Emekli aylık belgesi</w:t>
      </w:r>
    </w:p>
    <w:p>
      <w:r>
        <w:t>3. Gelir durum belgesi</w:t>
      </w:r>
    </w:p>
    <w:p>
      <w:r>
        <w:t>4. Belediye emlak beyanı</w:t>
      </w:r>
    </w:p>
    <w:p>
      <w:r>
        <w:t>5. Vergi tahakkuk ve ödeme makbuzları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Koşulların oluştuğu yıl için belediyeye bildirim yapılır; geçmiş dönem düzeltme ve iade taleplerinde zamanaşımı ayrıca hesaplanır.</w:t>
      </w:r>
    </w:p>
    <w:p>
      <w:pPr>
        <w:pStyle w:val="Heading1"/>
      </w:pPr>
      <w:r>
        <w:t>Görev ve Yetki Kontrolü</w:t>
      </w:r>
    </w:p>
    <w:p>
      <w:r>
        <w:t>Taşınmazın bulunduğu belediyenin emlak vergisi birimi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Taşınmazın niteliği ve brüt alanı → Tapu kaydı</w:t>
      </w:r>
    </w:p>
    <w:p>
      <w:pPr>
        <w:pStyle w:val="ListBullet"/>
        <w:spacing w:after="60"/>
      </w:pPr>
      <w:r>
        <w:t>Tek mesken şartı → Emekli aylık belgesi</w:t>
      </w:r>
    </w:p>
    <w:p>
      <w:pPr>
        <w:pStyle w:val="ListBullet"/>
        <w:spacing w:after="60"/>
      </w:pPr>
      <w:r>
        <w:t>Emeklilik veya gelir durumu → Gelir durum belgesi</w:t>
      </w:r>
    </w:p>
    <w:p>
      <w:pPr>
        <w:pStyle w:val="ListBullet"/>
        <w:spacing w:after="60"/>
      </w:pPr>
      <w:r>
        <w:t>Meskenin kullanım şekli → Belediye emlak beyanı</w:t>
      </w:r>
    </w:p>
    <w:p>
      <w:pPr>
        <w:pStyle w:val="ListBullet"/>
        <w:spacing w:after="60"/>
      </w:pPr>
      <w:r>
        <w:t>Önceki vergi tahakkukları → Vergi tahakkuk ve ödeme makbuzları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Emekli Emlak Vergisi Muafiyet Dilekçesi Örneği</dc:title>
  <dc:subject>İdare ve Vergi Hukuku</dc:subject>
  <dc:creator>Av. Halil Bakırcı</dc:creator>
  <cp:keywords>emlak vergisi muafiyet dilekçesi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